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CoronaSchV 2021</w:t>
      </w:r>
    </w:p>
    <w:p>
      <w:r>
        <w:rPr>
          <w:color w:val="555555"/>
          <w:sz w:val="18"/>
        </w:rPr>
        <w:t xml:space="preserve">Coronavirus-Schutzverordnung</w:t>
      </w:r>
    </w:p>
    <w:p>
      <w:r>
        <w:rPr>
          <w:color w:val="555555"/>
          <w:sz w:val="18"/>
        </w:rPr>
        <w:t xml:space="preserve">Historische Fassung: Stand 29.04.2021 bis 13.05.2021. Dies ist nicht die aktuelle Fassung.</w:t>
      </w:r>
    </w:p>
    <w:p>
      <w:r>
        <w:t xml:space="preserve">Auf Grund des § 36 Absatz 10 Satz 1 Nummer 2 Buchstabe a des Infektionsschutzgesetzes vom 20. Juli 2000 (BGBl. I S. 1045), der durch Artikel 1 Nummer 18 Buchstabe d des Gesetzes vom 18. November 2020 (BGBl. I S. 2397) neu gefasst worden ist, verordnet die Bundesregierung:</w:t>
      </w:r>
    </w:p>
    <w:p>
      <w:r>
        <w:rPr>
          <w:color w:val="555555"/>
          <w:sz w:val="17"/>
        </w:rPr>
        <w:t xml:space="preserve">Zitiervorschlag: Eingangsformel CoronaSchV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https://recht.nulegal.eu/gesetze/CoronaSchV%202021/eingangsformel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