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CoronaImpfV 2021-03 — Folge- und Auffrischimpfungen</w:t>
      </w:r>
    </w:p>
    <w:p>
      <w:r>
        <w:rPr>
          <w:color w:val="555555"/>
          <w:sz w:val="18"/>
        </w:rPr>
        <w:t xml:space="preserve">Coronavirus-Impfverordnung</w:t>
      </w:r>
    </w:p>
    <w:p>
      <w:r>
        <w:rPr>
          <w:color w:val="555555"/>
          <w:sz w:val="18"/>
        </w:rPr>
        <w:t xml:space="preserve">Historische Fassung: Stand 13.03.2021 bis 01.04.2021. Dies ist nicht die aktuelle Fassung.</w:t>
      </w:r>
    </w:p>
    <w:p>
      <w:r>
        <w:t xml:space="preserve">(1) § 1 Absatz 2 bis 4 und die §§ 2 bis 4 gelten entsprechend für Folge- und Auffrischimpfungen, die für ein vollständiges Impfschema im Rahmen der Empfehlung der Ständigen Impfkommission beim Robert Koch-Institut vorgesehen sind. Folge- und Auffrischimpfungen müssen mit dem gleichen Impfstoff erfolgen wie die Erstimpfung.</w:t>
      </w:r>
    </w:p>
    <w:p>
      <w:r>
        <w:t xml:space="preserve">(2) Der von der Ständigen Impfkommission beim Robert Koch-Institut empfohlene Abstand zwischen Erst- und Folgeimpfung beim mRNA-Impfstoff Comirnaty von BioNTech von sechs Wochen, beim mRNA-Impfstoff COVID-19-Vaccine von Moderna von sechs Wochen und beim Vektorviren-Impfstoff COVID-19 Vaccine von AstraZeneca von zwölf Wochen soll eingehalten werden. Zum Zeitpunkt des Inkrafttretens dieser Verordnung bereits vereinbarte oder noch in Vereinbarung befindliche Termine für die Zweitimpfung bleiben davon unberührt. Letzteres gilt auch für Termine, die bis zur technischen Umstellung der Terminvergabesysteme vereinbart werden.</w:t>
      </w:r>
    </w:p>
    <w:p>
      <w:r>
        <w:t xml:space="preserve">(3) Wird der empfohlene Abstand im Einzelfall aus wichtigem Grund überschritten, soll das Impfschema auf Grundlage der Empfehlungen der Ständigen Impfkommission beim Robert Koch-Institut fortgesetzt werden. Das Ziel der Vervollständigung der Impfserie bei Personen, die bereits eine Erstimpfung erhalten haben, ist im Hinblick auf den Beginn der Schutzimpfung weiterer Personen, die noch keine Schutzimpfung erhalten haben, angemessen zu berücksichtigen.</w:t>
      </w:r>
    </w:p>
    <w:p>
      <w:r>
        <w:rPr>
          <w:color w:val="555555"/>
          <w:sz w:val="17"/>
        </w:rPr>
        <w:t xml:space="preserve">Zitiervorschlag: § 5 CoronaImpfV 2021-03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https://recht.nulegal.eu/gesetze/CoronaImpfV%202021-03/5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CoronaImpfV 2021-03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