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CorSurV — Inkrafttreten, Außerkrafttreten</w:t>
      </w:r>
    </w:p>
    <w:p>
      <w:r>
        <w:rPr>
          <w:color w:val="555555"/>
          <w:sz w:val="18"/>
        </w:rPr>
        <w:t xml:space="preserve">Coronavirus-Surveillanceverordnung</w:t>
      </w:r>
    </w:p>
    <w:p>
      <w:r>
        <w:rPr>
          <w:color w:val="555555"/>
          <w:sz w:val="18"/>
        </w:rPr>
        <w:t xml:space="preserve">Historische Fassung: Stand 01.07.2022 bis 01.08.2023. Dies ist nicht die aktuelle Fassung.</w:t>
      </w:r>
    </w:p>
    <w:p>
      <w:r>
        <w:t xml:space="preserve">Diese Verordnung tritt am 19. Januar 2021 in Kraft und sie tritt am 31. Juli 2023 außer Kraft. Eine Datenübermittlung gemäß § 1 Absatz 1 an das Robert Koch-Institut ist letztmalig zum 30. April 2023 zulässig.</w:t>
      </w:r>
    </w:p>
    <w:p>
      <w:r>
        <w:rPr>
          <w:color w:val="555555"/>
          <w:sz w:val="17"/>
        </w:rPr>
        <w:t xml:space="preserve">Zitiervorschlag: § 6 CorSurV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https://recht.nulegal.eu/gesetze/CorSurV/6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