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CorSurV — Evaluierung</w:t>
      </w:r>
    </w:p>
    <w:p>
      <w:r>
        <w:rPr>
          <w:color w:val="555555"/>
          <w:sz w:val="18"/>
        </w:rPr>
        <w:t xml:space="preserve">Coronavirus-Surveillanceverordnung</w:t>
      </w:r>
    </w:p>
    <w:p>
      <w:r>
        <w:rPr>
          <w:color w:val="555555"/>
          <w:sz w:val="18"/>
        </w:rPr>
        <w:t xml:space="preserve">Historische Fassung: Stand 01.10.2022 bis 01.08.2023. Dies ist nicht die aktuelle Fassung.</w:t>
      </w:r>
    </w:p>
    <w:p>
      <w:r>
        <w:t xml:space="preserve">Diese Verordnung wird insbesondere auf der Grundlage der aktuellen epidemiologischen Erkenntnisse laufend evaluiert.</w:t>
      </w:r>
    </w:p>
    <w:p>
      <w:r>
        <w:rPr>
          <w:color w:val="555555"/>
          <w:sz w:val="17"/>
        </w:rPr>
        <w:t xml:space="preserve">Zitiervorschlag: § 5 CorSurV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https://recht.nulegal.eu/gesetze/CorSurV/5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