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CorSurV — Transparenz</w:t>
      </w:r>
    </w:p>
    <w:p>
      <w:r>
        <w:rPr>
          <w:color w:val="555555"/>
          <w:sz w:val="18"/>
        </w:rPr>
        <w:t xml:space="preserve">Coronavirus-Surveillanceverordnung</w:t>
      </w:r>
    </w:p>
    <w:p>
      <w:r>
        <w:rPr>
          <w:color w:val="555555"/>
          <w:sz w:val="18"/>
        </w:rPr>
        <w:t xml:space="preserve">Historische Fassung: Stand 01.07.2022 bis 01.08.2023. Dies ist nicht die aktuelle Fassung.</w:t>
      </w:r>
    </w:p>
    <w:p>
      <w:r>
        <w:t xml:space="preserve">Die Kassenärztlichen Vereinigungen haben dem Bundesministerium für Gesundheit jeden Monat über die Kassenärztliche Bundesvereinigung folgende Angaben zu übermitteln:</w:t>
      </w:r>
    </w:p>
    <w:p>
      <w:pPr>
        <w:ind w:left="420"/>
      </w:pPr>
      <w:r>
        <w:t xml:space="preserve">1. die Anzahl der Fälle, in denen Untersuchungsstellen und Einsender ihnen gegenüber Vergütung oder Versandkosten abgerechnet haben,</w:t>
      </w:r>
    </w:p>
    <w:p>
      <w:pPr>
        <w:ind w:left="420"/>
      </w:pPr>
      <w:r>
        <w:t xml:space="preserve">2. die Höhe der Verwaltungskosten nach § 2 Absatz 6 und</w:t>
      </w:r>
    </w:p>
    <w:p>
      <w:pPr>
        <w:ind w:left="420"/>
      </w:pPr>
      <w:r>
        <w:t xml:space="preserve">3. die Anzahl der Fälle, in denen Untersuchungsstellen und Einsender ihnen gegenüber eine Vergütung oder Versandkosten abgerechnet haben und in denen die Übermittlung von Angaben nach § 1 Absatz 1 Satz 1 und 2 auf durch Landesgesundheitsbehörden oder das Robert Koch-Institut durchgeführte oder unterstützte Ausbruchsuntersuchungen im Sinne des § 2 Absatz 1 Satz 5 oder durch Gesundheitsämter anlassbezogen veranlasste Vollgenomsequenzierungen im Sinne des § 2 Absatz 1 Satz 6 zurückzuführen sind.</w:t>
      </w:r>
    </w:p>
    <w:p>
      <w:r>
        <w:rPr>
          <w:color w:val="555555"/>
          <w:sz w:val="17"/>
        </w:rPr>
        <w:t xml:space="preserve">Zitiervorschlag: § 4 CorSurV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https://recht.nulegal.eu/gesetze/CorSurV/4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