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CorSurV — Kostenerstattung</w:t>
      </w:r>
    </w:p>
    <w:p>
      <w:r>
        <w:rPr>
          <w:color w:val="555555"/>
          <w:sz w:val="18"/>
        </w:rPr>
        <w:t xml:space="preserve">Coronavirus-Surveillanceverordnung</w:t>
      </w:r>
    </w:p>
    <w:p>
      <w:r>
        <w:rPr>
          <w:color w:val="555555"/>
          <w:sz w:val="18"/>
        </w:rPr>
        <w:t xml:space="preserve">Historische Fassung: Stand 01.07.2022 bis 01.08.2023. Dies ist nicht die aktuelle Fassung.</w:t>
      </w:r>
    </w:p>
    <w:p>
      <w:r>
        <w:t xml:space="preserve">(1) Die Untersuchungsstellen haben Anspruch auf eine Vergütung für die Übermittlung von Angaben nach § 1 Absatz 1 Satz 1 und 2. Die Vergütung beträgt 150 Euro für jede Übermittlung von Angaben zu einer durchgeführten Vollgenomsequenzierung. Sofern die Vollgenomsequenzierung bereits aus anderen Mitteln vergütet wird, beträgt die Vergütung in Abweichung von Satz 2 20 Euro. Der Anspruch auf Vergütung besteht für jede Untersuchungsstelle höchstens für die Anzahl von Übermittlungen, die</w:t>
      </w:r>
    </w:p>
    <w:p>
      <w:pPr>
        <w:ind w:left="420"/>
      </w:pPr>
      <w:r>
        <w:t xml:space="preserve">1. 10 Prozent der Anzahl der Proben entspricht, die von der Untersuchungsstelle in der jeweils vergangenen Kalenderwoche positiv auf das Coronavirus SARS-CoV-2 getestet wurden, wenn die Zahl der Neuinfektionen mit dem Coronavirus SARS-CoV-2 in der Bundesrepublik Deutschland in der Kalenderwoche vor der Durchführung der Diagnostik 50 000 nicht überschritten hat,</w:t>
      </w:r>
    </w:p>
    <w:p>
      <w:pPr>
        <w:ind w:left="420"/>
      </w:pPr>
      <w:r>
        <w:t xml:space="preserve">2. 5 Prozent der Anzahl der Proben entspricht, die von der Untersuchungsstelle in der jeweils vergangenen Kalenderwoche positiv auf das Coronavirus SARS-CoV-2 getestet wurden, wenn die Zahl der Neuinfektionen mit dem Coronavirus SARS-CoV-2 in der Bundesrepublik Deutschland in der Kalenderwoche vor der Durchführung der Diagnostik 200 000 nicht überschritten hat,</w:t>
      </w:r>
    </w:p>
    <w:p>
      <w:pPr>
        <w:ind w:left="420"/>
      </w:pPr>
      <w:r>
        <w:t xml:space="preserve">3. 1 Prozent der Anzahl der Proben entspricht, die von der Untersuchungsstelle in der jeweils vergangenen Kalenderwoche positiv auf das Coronavirus SARS-CoV-2 getestet wurden, wenn die Zahl der Neuinfektionen mit dem Coronavirus SARS-CoV-2 in der Bundesrepublik Deutschland in der Kalenderwoche vor der Durchführung der Diagnostik 200 000 überschritten hat.</w:t>
      </w:r>
    </w:p>
    <w:p>
      <w:r>
        <w:t xml:space="preserve">Im Rahmen von durch Landesgesundheitsbehörden oder das Robert Koch-Institut durchgeführten oder unterstützten Ausbruchsuntersuchungen besteht der Anspruch auch über die in Satz 4 genannte Anzahl von Übermittlungen hinaus. Satz 5 gilt auch für Vollgenomsequenzierungen, die durch Gesundheitsämter aus einem epidemiologisch relevanten Anlass nach den unter http://www.rki.de/corsurv veröffentlichten Empfehlungen des Robert Koch-Instituts veranlasst werden.</w:t>
      </w:r>
    </w:p>
    <w:p>
      <w:r>
        <w:t xml:space="preserve">(2) Einrichtungen nach § 23 Absatz 3 Satz 1 des Infektionsschutzgesetzes sowie Laboratorien, die Untersuchungsmaterial und Isolate von Krankheitserregern in Bezug auf das Coronavirus SARS-CoV-2 im Rahmen der Diagnostik mittels Nukleinsäureamplifikationstechnik untersuchen, jedoch selbst nicht über die technischen Voraussetzungen oder ausreichende Kapazitäten zur Vollgenomsequenzierung verfügen (Einsender), können die von ihnen positiv auf das Coronavirus SARS-CoV-2 getesteten Proben an Untersuchungsstellen zur Vollgenomsequenzierung einsenden; hinsichtlich der zulässigen Anzahl von Einsendungen gilt Absatz 1 Satz 4 entsprechend. Bei einer Versendung nach Satz 1 hat der Einsender Anspruch auf Erstattung von Versandkosten in Höhe von 20 Euro für jede übersandte Probe. Der Einsender hat vor dem Versand der Probe die Zustimmung der Untersuchungsstelle einzuholen.</w:t>
      </w:r>
    </w:p>
    <w:p>
      <w:r>
        <w:t xml:space="preserve">(3) Die Untersuchungsstellen und die Einsender rechnen die Vergütung und die Versandkosten nach den Absätzen 1 und 2 mit der Kassenärztlichen Vereinigung ab, in deren Bezirk die Untersuchungsstelle oder der Einsender ihren oder seinen Sitz hat. Die an die Kassenärztlichen Vereinigungen zu übermittelnden Angaben dürfen keinen Bezug zu der betroffenen Person aufweisen, deren Untersuchungsmaterial labordiagnostisch untersucht worden ist.</w:t>
      </w:r>
    </w:p>
    <w:p>
      <w:r>
        <w:t xml:space="preserve">(4) Die Untersuchungsstellen und die Einsender sind verpflichtet, die von der Kassenärztlichen Bundesvereinigung nach Absatz 5 festgelegten Angaben in den Abrechnungsunterlagen bezogen auf den Vorgang der Datenübermittlung oder der Einsendung von Proben zu dokumentieren und monatlich spätestens bis zum Ende des dritten auf den Abrechnungszeitraum folgenden Monats elektronisch an die nach Absatz 3 zuständige Kassenärztliche Vereinigung zu übermitteln. Die zu übermittelnden Angaben dürfen keinen Bezug zu den Personen aufweisen, deren Untersuchungsmaterial labordiagnostisch untersucht worden ist.</w:t>
      </w:r>
    </w:p>
    <w:p>
      <w:r>
        <w:t xml:space="preserve">(5) Die Kassenärztliche Bundesvereinigung legt spätestens bis zum 5. Februar 2021 im Benehmen mit den maßgeblichen Verbänden der Ärzte und Einrichtungen, die Leistungen der Labordiagnostik erbringen, das Nähere fest über:</w:t>
      </w:r>
    </w:p>
    <w:p>
      <w:pPr>
        <w:ind w:left="420"/>
      </w:pPr>
      <w:r>
        <w:t xml:space="preserve">1. die von den Untersuchungsstellen und den Einsendern für die Abrechnung der Vergütung und der Versandkosten und für Zwecke des § 4 an die Kassenärztlichen Vereinigungen zu übermittelnden Angaben und die für den Nachweis der korrekten Abrechnung notwendige Dokumentation,</w:t>
      </w:r>
    </w:p>
    <w:p>
      <w:pPr>
        <w:ind w:left="420"/>
      </w:pPr>
      <w:r>
        <w:t xml:space="preserve">2. die Form der Abrechnungsunterlagen,</w:t>
      </w:r>
    </w:p>
    <w:p>
      <w:pPr>
        <w:ind w:left="420"/>
      </w:pPr>
      <w:r>
        <w:t xml:space="preserve">3. die Erfüllung der Pflichten der Untersuchungsstellen und Einsender,</w:t>
      </w:r>
    </w:p>
    <w:p>
      <w:pPr>
        <w:ind w:left="420"/>
      </w:pPr>
      <w:r>
        <w:t xml:space="preserve">4. die Erfüllung der Pflichten der Kassenärztlichen Vereinigungen.</w:t>
      </w:r>
    </w:p>
    <w:p>
      <w:r>
        <w:t xml:space="preserve">(6) Die Kassenärztlichen Vereinigungen erhalten für den Aufwand der Abrechnung der Vergütung der Untersuchungsstellen und der Versandkosten der Einsender nach den Absätzen 1 und 2 nach dieser Verordnung einen Verwaltungskostenersatz in Höhe von 0,7 Prozent des jeweiligen Gesamtbetrags der Abrechnungen. Für Untersuchungsstellen und Einsender, die nicht Mitglied einer Kassenärztlichen Vereinigung sind und noch keine Leistungen ihr gegenüber abgerechnet haben, erhalten die Kassenärztlichen Vereinigungen einen Verwaltungskostenersatz in Höhe von 3,5 Prozent des Gesamtbetrags der Abrechnungen.</w:t>
      </w:r>
    </w:p>
    <w:p>
      <w:r>
        <w:rPr>
          <w:color w:val="555555"/>
          <w:sz w:val="17"/>
        </w:rPr>
        <w:t xml:space="preserve">Zitiervorschlag: § 2 CorSurV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https://recht.nulegal.eu/gesetze/CorSurV/2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