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CorSurV — Pflicht zur Datenübermittlung</w:t>
      </w:r>
    </w:p>
    <w:p>
      <w:r>
        <w:rPr>
          <w:color w:val="555555"/>
          <w:sz w:val="18"/>
        </w:rPr>
        <w:t xml:space="preserve">Coronavirus-Surveillanceverordnung</w:t>
      </w:r>
    </w:p>
    <w:p>
      <w:r>
        <w:rPr>
          <w:color w:val="555555"/>
          <w:sz w:val="18"/>
        </w:rPr>
        <w:t xml:space="preserve">Historische Fassung: Stand 01.07.2022 bis 01.08.2023. Dies ist nicht die aktuelle Fassung.</w:t>
      </w:r>
    </w:p>
    <w:p>
      <w:r>
        <w:t xml:space="preserve">(1) Laboratorien und die in § 23 Absatz 3 Satz 1 des Infektionsschutzgesetzes genannten Einrichtungen, die in der Bundesrepublik Deutschland Untersuchungsmaterial und Isolate von Krankheitserregern in Bezug auf das Coronavirus SARS-CoV-2 untersuchen und eine Vollgenomsequenzierung des Coronavirus SARS-CoV-2 durchführen (Untersuchungsstellen), sind verpflichtet, für jeden einzelnen Fall einer Vollgenomsequenzierung assemblierte Vollgenomsequenzen von Isolaten des Coronavirus SARS-CoV-2 in einer durch das Robert Koch-Institut definierten Form zusammen mit den Angaben über das Vorliegen eines durch das Robert Koch-Institut unter http://www.rki.de/corsurv veröffentlichten epidemiologischen Anlasses für die Vollgenomsequenzierung zum Zweck der Überwachung der Verbreitung des Coronavirus SARS-CoV-2 (Coronavirussurveillance) in pseudonymisierter Form an das Robert Koch-Institut zu übermitteln. Sofern bei den Untersuchungsstellen vorhanden, sind auch folgende Angaben zu übermitteln:</w:t>
      </w:r>
    </w:p>
    <w:p>
      <w:pPr>
        <w:ind w:left="420"/>
      </w:pPr>
      <w:r>
        <w:t xml:space="preserve">1. Angaben zum Einsender,</w:t>
      </w:r>
    </w:p>
    <w:p>
      <w:pPr>
        <w:ind w:left="420"/>
      </w:pPr>
      <w:r>
        <w:t xml:space="preserve">2. Datum der Probengewinnung,</w:t>
      </w:r>
    </w:p>
    <w:p>
      <w:pPr>
        <w:ind w:left="420"/>
      </w:pPr>
      <w:r>
        <w:t xml:space="preserve">3. Art der Probe,</w:t>
      </w:r>
    </w:p>
    <w:p>
      <w:pPr>
        <w:ind w:left="420"/>
      </w:pPr>
      <w:r>
        <w:t xml:space="preserve">4. verwendete Sequenzierungstechnologie.</w:t>
      </w:r>
    </w:p>
    <w:p>
      <w:r>
        <w:t xml:space="preserve">Untersuchungsstellen müssen zur Durchführung einer Vollgenomsequenzierung inklusive der bioinformatischen Auswertung qualifiziert sein; sie müssen unter fachärztlicher Leitung stehen oder Teil einer universitären oder außeruniversitären Forschungseinrichtung beziehungsweise mit einer solchen rechtlich und organisatorisch eng verbunden sein. Meldepflichten nach § 7 Absatz 1 Satz 1 Nummer 44a des Infektionsschutzgesetzes, insbesondere die Pflicht zur Meldung der Zuordnungsmerkmale für weitere Untersuchungen und darunter des sequenzierungsbezogenen Pseudonyms nach § 9 Absatz 2 Satz 1 Nummer 3 des Infektionsschutzgesetzes, bleiben unberührt. Die Verpflichtung nach Satz 1 besteht nicht für Vollgenomsequenzierungen, die zu Testzwecken im Rahmen von Qualitätskontrollen, Leistungstests oder Ringversuchen durchgeführt wurden.</w:t>
      </w:r>
    </w:p>
    <w:p>
      <w:r>
        <w:t xml:space="preserve">(2) Für die Datenübermittlung nach Absatz 1 ist das elektronische Melde- und Informationssystem nach § 14 des Infektionsschutzgesetzes zu nutzen. Das Robert Koch-Institut bestimmt die technischen Übermittlungsstandards sowie das Verfahren zur Pseudonymisierung.</w:t>
      </w:r>
    </w:p>
    <w:p>
      <w:r>
        <w:t xml:space="preserve">(3) Die Informationen nach Absatz 1 Satz 1 und 2 sind innerhalb von 10 Tagen nach erfolgtem Nukleinsäureamplifikationsnachweis oder nach erfolgter Einsendung der Probe nach § 2 Absatz 2 Satz 1 zu übermitteln.</w:t>
      </w:r>
    </w:p>
    <w:p>
      <w:r>
        <w:rPr>
          <w:color w:val="555555"/>
          <w:sz w:val="17"/>
        </w:rPr>
        <w:t xml:space="preserve">Zitiervorschlag: § 1 CorSurV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https://recht.nulegal.eu/gesetze/CorSurV/1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