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ContrPrV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den vier schriftlichen Prüfungsleistungen in den Handlungsbereichen nach § 3 Absatz 1 Nummer 1 bis 4 und Absatz 2,</w:t>
      </w:r>
    </w:p>
    <w:p>
      <w:pPr>
        <w:ind w:left="420"/>
      </w:pPr>
      <w:r>
        <w:t xml:space="preserve">2. in der Projektarbeit nach § 3 Absatz 4 Satz 1,</w:t>
      </w:r>
    </w:p>
    <w:p>
      <w:pPr>
        <w:ind w:left="420"/>
      </w:pPr>
      <w:r>
        <w:t xml:space="preserve">3. in der mündlichen Prüfung in Form einer Präsentation und Fachgespräch nach § 3 Absatz 4.</w:t>
      </w:r>
    </w:p>
    <w:p>
      <w:r>
        <w:t xml:space="preserve">(2) Ist die Prüfung bestanden, wird das arithmetische Mittel der Bewertung für die vier schriftlichen Prüfungsleistungen in den Handlungsbereichen nach § 3 Absatz 1 Nummer 1 bis 4 kaufmännisch auf eine ganze Zahl gerundet.</w:t>
      </w:r>
    </w:p>
    <w:p>
      <w:r>
        <w:t xml:space="preserve">(3) Den Bewertungen für die vier schriftlichen Prüfungsleistungen in den Handlungsbereichen nach § 3 Absatz 1 Nummer 1 bis 4, der Projektarbeit und der mündlichen Prüfung in Form einer Präsentation und Fachgespräch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das arithmetische Mittel der Bewertungen für die vier schriftlichen Prüfungsleistungen in den Handlungsbereichen nach § 3 Absatz 1 Nummer 1 bis 4 mit 25 Prozent,</w:t>
      </w:r>
    </w:p>
    <w:p>
      <w:pPr>
        <w:ind w:left="420"/>
      </w:pPr>
      <w:r>
        <w:t xml:space="preserve">2. die Bewertung der Projektarbeit mit 45 Prozent,</w:t>
      </w:r>
    </w:p>
    <w:p>
      <w:pPr>
        <w:ind w:left="420"/>
      </w:pPr>
      <w:r>
        <w:t xml:space="preserve">3. die Bewertung für die mündliche Prüfung mit 30 Prozent.</w:t>
      </w:r>
    </w:p>
    <w:p>
      <w:r>
        <w:t xml:space="preserve">Die Gesamtpunktzahl ist kaufmännisch auf eine ganze Zahl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7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