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ContZV (Brandenburg)</w:t>
      </w:r>
    </w:p>
    <w:p>
      <w:r>
        <w:rPr>
          <w:color w:val="555555"/>
          <w:sz w:val="18"/>
        </w:rPr>
        <w:t xml:space="preserve">Container-Zuständigkeitsverordnung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Verwaltungsbehörde nach Artikel 7 Abs. 3 Satz 1 des Gesetzes zu dem übereinkommen vom 2. Dezember 1972 über sichere Container für die Verfolgung und Ahndung von Ordnungswidrigkeiten nach Artikel 7 Abs. 1 dieses Gesetzes ist das Brandenburgische Landesamt für Verkehr und Straßenbau.</w:t>
      </w:r>
    </w:p>
    <w:p>
      <w:r>
        <w:rPr>
          <w:color w:val="555555"/>
          <w:sz w:val="17"/>
        </w:rPr>
        <w:t xml:space="preserve">Zitiervorschlag: § 2 ContZV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https://recht.nulegal.eu/gesetze/ContZV/2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