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ContStifG — Übergangsvorschrift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Conterganstiftung Leistungen zur Deckung spezifischer Bedarfe nach der bis zum 31. Dezember 2016 geltenden Fassung des Gesetzes bewilligt hat, die</w:t>
      </w:r>
    </w:p>
    <w:p>
      <w:pPr>
        <w:ind w:left="420"/>
      </w:pPr>
      <w:r>
        <w:t xml:space="preserve">1. nach dem 1. Januar 2017 ausgezahlt werden und</w:t>
      </w:r>
    </w:p>
    <w:p>
      <w:pPr>
        <w:ind w:left="420"/>
      </w:pPr>
      <w:r>
        <w:t xml:space="preserve">2. zur Deckung spezifischer Bedarfe ab dem 1. Januar 2017 bestimmt sind,</w:t>
      </w:r>
    </w:p>
    <w:p>
      <w:r>
        <w:t xml:space="preserve">werden diese auf Leistungen nach § 13 Absatz 1 Satz 1 Nummer 3 angerechnet.</w:t>
      </w:r>
    </w:p>
    <w:p>
      <w:r>
        <w:rPr>
          <w:color w:val="555555"/>
          <w:sz w:val="17"/>
        </w:rPr>
        <w:t xml:space="preserve">Zitiervorschlag: § 24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