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ContStifG — Förderungsmaßnahmen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Erreichung des in § 2 Nr. 2 bezeichneten Zwecks kann die Stiftung Einzelvorhaben der wissenschaftlichen Forschung, Entwicklung und Erprobung von spezifischen Behandlungsmethoden und sonstigen Maßnahmen fördern oder durchführen.</w:t>
      </w:r>
    </w:p>
    <w:p>
      <w:r>
        <w:t xml:space="preserve">(2) Die vor Inkrafttreten dieses Gesetzes bewilligten Förderungsmaßnahmen werden zu Ende geführt.</w:t>
      </w:r>
    </w:p>
    <w:p>
      <w:r>
        <w:t xml:space="preserve">(3) Ein Anspruch auf Förderung aus Mitteln der Stiftung besteht nicht.</w:t>
      </w:r>
    </w:p>
    <w:p>
      <w:r>
        <w:rPr>
          <w:color w:val="555555"/>
          <w:sz w:val="17"/>
        </w:rPr>
        <w:t xml:space="preserve">Zitiervorschlag: § 20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