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ContStifG — Finanzielle Ausstattung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Für Maßnahmen nach diesem Abschnitt sind zu verwenden</w:t>
      </w:r>
    </w:p>
    <w:p>
      <w:pPr>
        <w:ind w:left="420"/>
      </w:pPr>
      <w:r>
        <w:t xml:space="preserve">1. die Erträge aus den Mitteln nach § 4 Absatz 1 Nummer 5;</w:t>
      </w:r>
    </w:p>
    <w:p>
      <w:pPr>
        <w:ind w:left="420"/>
      </w:pPr>
      <w:r>
        <w:t xml:space="preserve">2. die Mittel nach § 4 Absatz 1 Nummer 6 und die daraus erzielten Erträge;</w:t>
      </w:r>
    </w:p>
    <w:p>
      <w:pPr>
        <w:ind w:left="420"/>
      </w:pPr>
      <w:r>
        <w:t xml:space="preserve">3. Zuwendungen nach § 4 Abs. 2, soweit nicht die oder der Zuwendende etwas anderes bestimmt hat.</w:t>
      </w:r>
    </w:p>
    <w:p>
      <w:r>
        <w:rPr>
          <w:color w:val="555555"/>
          <w:sz w:val="17"/>
        </w:rPr>
        <w:t xml:space="preserve">Zitiervorschlag: § 19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