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ContStifG — Art und Umfang der Leistungen</w:t>
      </w:r>
    </w:p>
    <w:p>
      <w:r>
        <w:rPr>
          <w:color w:val="555555"/>
          <w:sz w:val="18"/>
        </w:rPr>
        <w:t xml:space="preserve">Conterganstiftungsgesetz</w:t>
      </w:r>
    </w:p>
    <w:p>
      <w:r>
        <w:rPr>
          <w:color w:val="555555"/>
          <w:sz w:val="18"/>
        </w:rPr>
        <w:t xml:space="preserve">Stand: 01.01.2024 (konsolidierte Textfassung, kein amtliches Inkrafttretensdatum)</w:t>
      </w:r>
    </w:p>
    <w:p>
      <w:r>
        <w:t xml:space="preserve">(1) Den in § 12 genannten leistungsberechtigten Personen stehen als Leistungen zu:</w:t>
      </w:r>
    </w:p>
    <w:p>
      <w:pPr>
        <w:ind w:left="420"/>
      </w:pPr>
      <w:r>
        <w:t xml:space="preserve">1. eine einmalige Kapitalentschädigung,</w:t>
      </w:r>
    </w:p>
    <w:p>
      <w:pPr>
        <w:ind w:left="420"/>
      </w:pPr>
      <w:r>
        <w:t xml:space="preserve">2. eine lebenslängliche Conterganrente vorbehaltlich des Absatzes 2 Satz 3,</w:t>
      </w:r>
    </w:p>
    <w:p>
      <w:pPr>
        <w:ind w:left="420"/>
      </w:pPr>
      <w:r>
        <w:t xml:space="preserve">3. jährliche Leistungen zur Deckung spezifischer Bedarfe und</w:t>
      </w:r>
    </w:p>
    <w:p>
      <w:pPr>
        <w:ind w:left="420"/>
      </w:pPr>
      <w:r>
        <w:t xml:space="preserve">4. eine jährliche Sonderzahlung, die erstmals für das Jahr 2009 und letztmalig für das Jahr 2022 gewährt wird.</w:t>
      </w:r>
    </w:p>
    <w:p>
      <w:r>
        <w:t xml:space="preserve">Die jährlichen Leistungen zur Deckung spezifischer Bedarfe, zur Förderung multidisziplinärer medizinischer Kompetenzzentren und die jährlichen Sonderzahlungen werden nur geleistet, soweit dafür Mittel nach § 11 Satz 2 Nummer 1 und 2 im Stiftungsvermögen vorhanden sind. Als jährliche Sonderzahlung werden im Jahr 2022 die gemäß § 11 Satz 2 Nummer 1 insgesamt für die jährlichen Sonderzahlungen zur Verfügung stehenden Mittel bis einschließlich 30. Juni 2022 an die leistungsberechtigten Personen ausgezahlt.</w:t>
      </w:r>
    </w:p>
    <w:p>
      <w:r>
        <w:t xml:space="preserve">(2) Die Höhe der in Absatz 1 genannten Leistungen richtet sich nach der Schwere des Körperschadens und der hierdurch hervorgerufenen Körperfunktionsstörungen und liegt</w:t>
      </w:r>
    </w:p>
    <w:p>
      <w:pPr>
        <w:ind w:left="420"/>
      </w:pPr>
      <w:r>
        <w:t xml:space="preserve">1. bei der einmaligen Kapitalentschädigung zwischen 1 278 Euro und 12 782 Euro,</w:t>
      </w:r>
    </w:p>
    <w:p>
      <w:pPr>
        <w:ind w:left="420"/>
      </w:pPr>
      <w:r>
        <w:t xml:space="preserve">2. bei der monatlichen Conterganrente zwischen 662 Euro und 7 480 Euro,</w:t>
      </w:r>
    </w:p>
    <w:p>
      <w:pPr>
        <w:ind w:left="420"/>
      </w:pPr>
      <w:r>
        <w:t xml:space="preserve">3. bei den jährlichen Leistungen zur Deckung spezifischer Bedarfe zwischen 876 Euro und 9 900 Euro. Zusätzlich erhält jede leistungsberechtigte Person einen jährlichen Sockelbetrag von 4 800 Euro.</w:t>
      </w:r>
    </w:p>
    <w:p>
      <w:r>
        <w:t xml:space="preserve">In leichten Fällen sind die Leistungen auf die Kapitalentschädigung zu beschränken. Die Höhe der Conterganrente wird durch das Bundesministerium für Familie, Senioren, Frauen und Jugend jeweils entsprechend dem Prozentsatz angepasst, um den sich die Renten der gesetzlichen Rentenversicherung verändern. Die Anpassung nach Satz 4 erfolgt jeweils zum gleichen Zeitpunkt, zu dem die Renten der gesetzlichen Rentenversicherung angepasst werden.</w:t>
      </w:r>
    </w:p>
    <w:p>
      <w:r>
        <w:t xml:space="preserve">(3) Auf Antrag ist die Conterganrente zu kapitalisieren, wenn dies im Interesse des Menschen mit Behinderungen liegt. Die Conterganrente kann auf Antrag auch teilweise kapitalisiert werden. Die Kapitalisierung ist auf die für einen Zeitraum von höchstens fünf Jahre zustehende Conterganrente beschränkt. Der Anspruch auf Conterganrente, an deren Stelle die Kapitalabfindung tritt, erlischt für die Dauer des Zeitraumes, für den die Kapitalisierung gewährt wird, mit Ablauf des Monats, der auf den Monat der Auszahlung der Abfindung folgt.</w:t>
      </w:r>
    </w:p>
    <w:p>
      <w:r>
        <w:t xml:space="preserve">(4) Die Zahlungen der Conterganrente beginnen frühestens mit dem Antragsmonat. Wird der Antrag innerhalb von drei Monaten nach dem Inkrafttreten des Errichtungsgesetzes gestellt, so wird die Conterganrente vom Zeitpunkt des Inkrafttretens an gewährt. Die jährlichen Sonderzahlungen beginnen nach Maßgabe des Absatzes 1 Satz 1 mit dem Jahr, in dem der Antrag auf Conterganrente gestellt worden ist. Für die Auszahlung der Mittel für die jährlichen Sonderzahlungen nach Absatz 1 Satz 3 werden Anträge auf Leistungen nach diesem Gesetz oder Anträge auf Erhöhung der Leistungen nach diesem Gesetz berücksichtigt, die bis einschließlich 31. Dezember 2021 gestellt worden sind. Die Zahlung der jährlichen Leistungen zur Deckung spezifischer Bedarfe nach Absatz 1 Satz 1 Nummer 3 beginnt ab dem 1. Januar 2017.</w:t>
      </w:r>
    </w:p>
    <w:p>
      <w:r>
        <w:t xml:space="preserve">(5) Die Ansprüche auf die in Absatz 1 genannten Leistungen können nicht übertragen, verpfändet oder gepfändet werden. Vererblich sind lediglich Ansprüche auf Kapitalentschädigung, auf Conterganrente und auf die jährliche Sonderzahlung, die im Zeitpunkt des Todes der leistungsberechtigten Person bereits fällig geworden sind, und zwar nur dann, wenn die Person von ihrem Ehegatten, ihrer Lebenspartnerin oder ihrem Lebenspartner, ihren Kindern oder ihren Eltern beerbt wird.</w:t>
      </w:r>
    </w:p>
    <w:p>
      <w:r>
        <w:t xml:space="preserve">(6) Das Nähere regeln die Satzung und die Richtlinien. Die Satzung trifft insbesondere Bestimmungen über die Voraussetzungen und den Umfang der Kapitalisierung der Conterganrente nach Absatz 3 Satz 5 und 6 sowie über die Art der Berechnung des Kapitalbetrages. In den Richtlinien ist insbesondere zu regeln, nach welchen Maßstäben auf der Grundlage der zur Verfügung stehenden Mittel Leistungen nach diesem Abschnitt zu bemessen sind und wie das Verfahren zur Gewährung von Leistungen zur Deckung spezifischer Bedarfe auszugestalten ist; diese Richtlinien erlässt das Bundesministerium für Familie, Senioren, Frauen und Jugend.</w:t>
      </w:r>
    </w:p>
    <w:p>
      <w:r>
        <w:t xml:space="preserve">(7) An Erhöhungen der Conterganrente nehmen auch leistungsberechtigte Personen teil, deren Conterganrente nach Absatz 3 kapitalisiert worden ist.</w:t>
      </w:r>
    </w:p>
    <w:p>
      <w:r>
        <w:t xml:space="preserve">(8) Für die Rückforderung zu Unrecht erbrachter Leistungen gelten die Vorschriften des Verwaltungsverfahrensgesetzes des Bundes entsprechend. § 118 Abs. 3 und 4 des Sechsten Buches Sozialgesetzbuch ist entsprechend anwendbar.</w:t>
      </w:r>
    </w:p>
    <w:p>
      <w:r>
        <w:rPr>
          <w:color w:val="555555"/>
          <w:sz w:val="17"/>
        </w:rPr>
        <w:t xml:space="preserve">Zitiervorschlag: § 13 ContStifG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https://recht.nulegal.eu/gesetze/ContStifG/13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