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ChirurgMAusbV</w:t>
      </w:r>
    </w:p>
    <w:p>
      <w:r>
        <w:rPr>
          <w:color w:val="555555"/>
          <w:sz w:val="18"/>
        </w:rPr>
        <w:t xml:space="preserve">Chirurgiemechaniker-Ausbildungsverordnung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der Handwerksordnung in der Fassung der Bekanntmachung vom 28. Dezember 1965 (BGBl. 1966 I S. 1), der zuletzt durch § 25 Nr. 1 des Gesetzes vom 24. August 1976 (BGBl. I S. 2525) geändert worden ist, wird im Einvernehmen mit dem Bundesminister für Bildung und Wissenschaft verordnet:</w:t>
      </w:r>
    </w:p>
    <w:p>
      <w:r>
        <w:rPr>
          <w:color w:val="555555"/>
          <w:sz w:val="17"/>
        </w:rPr>
        <w:t xml:space="preserve">Zitiervorschlag: Eingangsformel ChirurgMAusbV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https://recht.nulegal.eu/gesetze/ChirurgMAusbV/eingangsformel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