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ChirurgMAusbV — Zwischenprüfung</w:t>
      </w:r>
    </w:p>
    <w:p>
      <w:r>
        <w:rPr>
          <w:color w:val="555555"/>
          <w:sz w:val="18"/>
        </w:rPr>
        <w:t xml:space="preserve">Chirurgiemechaniker-Ausbildungsverordnung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Ermittlung des Ausbildungsstandes ist eine Zwischenprüfung durchzuführen. Sie soll vor dem Ende des zweiten Ausbildungsjahres stattfinden.</w:t>
      </w:r>
    </w:p>
    <w:p>
      <w:r>
        <w:t xml:space="preserve">(2) Die Zwischenprüfung erstreckt sich auf die in der Anlage in Abschnitt I sowie in Abschnitt II unter laufender Nummer 1 Buchstaben a und e, laufender Nummer 2 Buchstaben a bis c, laufender Nummer 3 Buchstabe a, laufender Nummer 7 Buchstabe a, laufender Nummer 12 Buchstaben b, c und d Doppelbuchstaben aa bis cc, laufender Nummer 13 Buchstabe a aufgeführten Fertigkeiten und Kenntnisse sowie auf den im Berufsschulunterricht entsprechend den Rahmenlehrplänen zu vermittelnden Lehrstoff, soweit er für die Berufsausbildung wesentlich ist.</w:t>
      </w:r>
    </w:p>
    <w:p>
      <w:r>
        <w:t xml:space="preserve">(3) Der Prüfling soll in insgesamt höchstens sieben Stunden zwei unterschiedliche Prüfungsstücke anfertigen. Hierfür kommt insbesondere in Betracht: Herstellen von Werkstücken, die für sich allein oder im Zusammenwirken ihrer Teile eine Funktion erfüllen müssen, durch manuelles Spanen, maschinelles Spanen, Kaltumformen von Blechen und Profilen, Fügen durch Schraub-, Bolzen- und Stiftverbindungen sowie manuelles Schleifen an ebenen und zylindrischen Flächen einschließlich Planen und Vorbereiten des Arbeitsablaufes und Kontrollieren der Arbeitsergebnisse.</w:t>
      </w:r>
    </w:p>
    <w:p>
      <w:r>
        <w:t xml:space="preserve">(4) Der Prüfling soll in insgesamt höchstens 180 Minuten Aufgaben, die sich auf praxisbezogene Fälle beziehen sollen, aus folgenden Gebieten schriftlich lösen:</w:t>
      </w:r>
    </w:p>
    <w:p>
      <w:pPr>
        <w:ind w:left="420"/>
      </w:pPr>
      <w:r>
        <w:t xml:space="preserve">1. Arbeitssicherheit, Umweltschutz und rationelle Energieverwendung,</w:t>
      </w:r>
    </w:p>
    <w:p>
      <w:pPr>
        <w:ind w:left="420"/>
      </w:pPr>
      <w:r>
        <w:t xml:space="preserve">2. technische Zeichnungen, Arbeitspläne, Maß-, Form- und Lagetoleranzen, Oberflächenbeschaffenheit, Normung der Metallwerkstoffe,</w:t>
      </w:r>
    </w:p>
    <w:p>
      <w:pPr>
        <w:ind w:left="420"/>
      </w:pPr>
      <w:r>
        <w:t xml:space="preserve">3. Eigenschaften und Verwendung von Werk- und Hilfsstoffen,</w:t>
      </w:r>
    </w:p>
    <w:p>
      <w:pPr>
        <w:ind w:left="420"/>
      </w:pPr>
      <w:r>
        <w:t xml:space="preserve">4. Fertigungsverfahren der spanenden und spanlosen Bearbeitung,</w:t>
      </w:r>
    </w:p>
    <w:p>
      <w:pPr>
        <w:ind w:left="420"/>
      </w:pPr>
      <w:r>
        <w:t xml:space="preserve">5. Fügetechniken,</w:t>
      </w:r>
    </w:p>
    <w:p>
      <w:pPr>
        <w:ind w:left="420"/>
      </w:pPr>
      <w:r>
        <w:t xml:space="preserve">6. Prüftechniken bei Längen, Formen und Oberflächen,</w:t>
      </w:r>
    </w:p>
    <w:p>
      <w:pPr>
        <w:ind w:left="420"/>
      </w:pPr>
      <w:r>
        <w:t xml:space="preserve">7. Berechnen von Längen, Winkeln, Flächen, Volumina, Massen, Kräften und Geschwindigkeiten.</w:t>
      </w:r>
    </w:p>
    <w:p>
      <w:r>
        <w:t xml:space="preserve">(5) Die in Absatz 4 genannte Prüfungsdauer kann insbesondere unterschritten werden, soweit die schriftliche Prüfung in programmierter Form durchgeführt wird.</w:t>
      </w:r>
    </w:p>
    <w:p>
      <w:r>
        <w:rPr>
          <w:color w:val="555555"/>
          <w:sz w:val="17"/>
        </w:rPr>
        <w:t xml:space="preserve">Zitiervorschlag: § 8 ChirurgMAusbV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https://recht.nulegal.eu/gesetze/ChirurgMAusbV/8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