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ChirMechMstrV</w:t>
      </w:r>
    </w:p>
    <w:p>
      <w:r>
        <w:rPr>
          <w:color w:val="555555"/>
          <w:sz w:val="18"/>
        </w:rPr>
        <w:t xml:space="preserve">Chirurgiemechanikermeisterverordnung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Abs. 1 der Handwerksordnung in der Fassung der Bekanntmachung vom 24. September 1998 (BGBl. I S. 3074), der durch Artikel 1 Nr. 39 des Gesetzes vom 24. Dezember 2003 (BGBl. I S. 2934) geändert worden ist, in Verbindung mit § 1 Abs. 2 des Zuständigkeitsanpassungsgesetzes vom 16. August 2002 (BGBl. I S. 3165) und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ChirMechMstrV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https://recht.nulegal.eu/gesetze/ChirMechMstrV/eingangsformel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