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ChemVerbotsV 2017 — Anzeigepflicht</w:t>
      </w:r>
    </w:p>
    <w:p>
      <w:r>
        <w:rPr>
          <w:color w:val="555555"/>
          <w:sz w:val="18"/>
        </w:rPr>
        <w:t xml:space="preserve">Chemikalien-Verbotsverordnung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Stoffe oder Gemische, für die in Anlage 2 Spalte 3 auf diese Vorschrift verwiesen wird, an den in § 5 Absatz 2 genannten Empfängerkreis abgibt oder für diesen bereitstellt, hat der zuständigen Behörde die erstmalige Abgabe oder Bereitstellung der Stoffe oder Gemische vor Aufnahme dieser Tätigkeit schriftlich anzuzeigen. Satz 1 gilt nicht für</w:t>
      </w:r>
    </w:p>
    <w:p>
      <w:pPr>
        <w:ind w:left="420"/>
      </w:pPr>
      <w:r>
        <w:t xml:space="preserve">1. Inhaber einer Erlaubnis nach § 6,</w:t>
      </w:r>
    </w:p>
    <w:p>
      <w:pPr>
        <w:ind w:left="420"/>
      </w:pPr>
      <w:r>
        <w:t xml:space="preserve">2. Apotheken.</w:t>
      </w:r>
    </w:p>
    <w:p>
      <w:r>
        <w:t xml:space="preserve">(2) In der Anzeige ist mindestens eine Person zu benennen, die die Anforderungen nach § 6 Absatz 2 erfüllt. Jeder Wechsel dieser Person sowie die endgültige Aufgabe der Tätigkeit nach Absatz 1 Satz 1 ist der zuständigen Behörde unverzüglich schriftlich anzuzeigen.</w:t>
      </w:r>
    </w:p>
    <w:p>
      <w:r>
        <w:rPr>
          <w:color w:val="555555"/>
          <w:sz w:val="17"/>
        </w:rPr>
        <w:t xml:space="preserve">Zitiervorschlag: § 7 ChemVerbotsV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https://recht.nulegal.eu/gesetze/ChemVerbotsV%202017/7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