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ChemVerbotsV 2017 — Übergangsvorschriften</w:t>
      </w:r>
    </w:p>
    <w:p>
      <w:r>
        <w:rPr>
          <w:color w:val="555555"/>
          <w:sz w:val="18"/>
        </w:rPr>
        <w:t xml:space="preserve">Chemikalien-Verbotsverordnung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nach früheren Rechtsvorschriften erteilte Erlaubnis, die einer Erlaubnis nach § 6 Absatz 1 entspricht, gilt im erteilten Umfang fort.</w:t>
      </w:r>
    </w:p>
    <w:p>
      <w:r>
        <w:t xml:space="preserve">(2) Eine nach früheren Rechtsvorschriften abgegebene Anzeige, die einer Anzeige nach § 7 Absatz 1 entspricht, gilt nach Maßgabe des § 7 Absatz 2 Satz 2 fort.</w:t>
      </w:r>
    </w:p>
    <w:p>
      <w:r>
        <w:t xml:space="preserve">(3) Der Nachweis der Qualifikation nach § 11 Absatz 1 Nummer 1 gilt als erbracht für Personen, die</w:t>
      </w:r>
    </w:p>
    <w:p>
      <w:pPr>
        <w:ind w:left="420"/>
      </w:pPr>
      <w:r>
        <w:t xml:space="preserve">1. nach früheren Vorschriften eine Prüfung bestanden haben, die der Prüfung nach § 11 Absatz 2 entspricht, oder</w:t>
      </w:r>
    </w:p>
    <w:p>
      <w:pPr>
        <w:ind w:left="420"/>
      </w:pPr>
      <w:r>
        <w:t xml:space="preserve">2. in einer Anzeige nach § 11 Absatz 7 der Gefahrstoffverordnung in der bis zum 31. Oktober 1993 geltenden Fassung benannt wurden.</w:t>
      </w:r>
    </w:p>
    <w:p>
      <w:r>
        <w:t xml:space="preserve">(4) § 11 Absatz 1 Nummer 2 ist erst ab dem 1. Juni 2019 anzuwenden.</w:t>
      </w:r>
    </w:p>
    <w:p>
      <w:r>
        <w:rPr>
          <w:color w:val="555555"/>
          <w:sz w:val="17"/>
        </w:rPr>
        <w:t xml:space="preserve">Zitiervorschlag: § 14 ChemVerbotsV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https://recht.nulegal.eu/gesetze/ChemVerbotsV%202017/14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