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ChemVerbotsV 2017 — Sachkunde</w:t>
      </w:r>
    </w:p>
    <w:p>
      <w:r>
        <w:rPr>
          <w:color w:val="555555"/>
          <w:sz w:val="18"/>
        </w:rPr>
        <w:t xml:space="preserve">Chemikalien-Verbotsverordnung</w:t>
      </w:r>
    </w:p>
    <w:p>
      <w:r>
        <w:rPr>
          <w:color w:val="555555"/>
          <w:sz w:val="18"/>
        </w:rPr>
        <w:t xml:space="preserve">Stand: 10.06.2019 (konsolidierte Textfassung, kein amtliches Inkrafttretensdatum)</w:t>
      </w:r>
    </w:p>
    <w:p>
      <w:r>
        <w:t xml:space="preserve">(1) Die erforderliche Sachkunde nach § 6 Absatz 2 Nummer 1 hat nachgewiesen, wer</w:t>
      </w:r>
    </w:p>
    <w:p>
      <w:pPr>
        <w:ind w:left="420"/>
      </w:pPr>
      <w:r>
        <w:t xml:space="preserve">1. eine von der zuständigen Behörde oder eine von der zuständigen Behörde hierfür anerkannten Einrichtung durchgeführte Prüfung nach Absatz 2 bestanden oder eine anderweitige Qualifikation nach Absatz 3 erworben hat und</w:t>
      </w:r>
    </w:p>
    <w:p>
      <w:pPr>
        <w:ind w:left="420"/>
      </w:pPr>
      <w:r>
        <w:t xml:space="preserve">2. sofern die Prüfung oder der Erwerb der anderweitigen Qualifikation länger als sechs Jahre zurückliegt, eine Bescheinigung über die Teilnahme an einer vor längstens sechs Jahren durchgeführten eintägigen oder vor längstens drei Jahren durchgeführten halbtägigen Fortbildungsveranstaltung einer zuständigen Behörde oder einer von der zuständigen Behörde hierfür anerkannten Einrichtung über die einschlägigen Inhalte des Absatzes 2 vorweisen kann.</w:t>
      </w:r>
    </w:p>
    <w:p>
      <w:r>
        <w:t xml:space="preserve">(2) Die Prüfung der Sachkunde nach Absatz 1 Nummer 1 erstreckt sich auf die allgemeinen Kenntnisse über die wesentlichen Eigenschaften der in Anlage 2 aufgeführten Stoffe und Gemische, über die mit ihrer Verwendung verbundenen Gefahren und auf die Kenntnis der sie betreffenden Vorschriften. Sie kann auf einzelne gefährliche Stoffe und Gemische, die einzelne gefährliche Stoffe enthalten, beschränkt werden. Sie kann auch unter Berücksichtigung nachgewiesener fachlicher Vorkenntnisse auf die Kenntnis der Vorschriften beschränkt werden. Eine Anerkennung oder ein Zeugnis nach der Pflanzenschutz-Sachkundeverordnung vom 27. Juni 2013 (BGBl. I S. 1953), die zuletzt durch Artikel 376 der Verordnung vom 31. August 2015 (BGBl. I S. 1474) geändert worden ist, kann als Nachweis der Sachkunde für die Abgabe von Pflanzenschutzmitteln anerkannt werden, die von Anlage 2 erfasst sind. Über die Prüfung wird ein Zeugnis ausgestellt.</w:t>
      </w:r>
    </w:p>
    <w:p>
      <w:r>
        <w:t xml:space="preserve">(3) Anderweitige Qualifikationen nach Absatz 1 Nummer 1 sind</w:t>
      </w:r>
    </w:p>
    <w:p>
      <w:pPr>
        <w:ind w:left="420"/>
      </w:pPr>
      <w:r>
        <w:t xml:space="preserve">1. die Approbation als Apotheker,</w:t>
      </w:r>
    </w:p>
    <w:p>
      <w:pPr>
        <w:ind w:left="420"/>
      </w:pPr>
      <w:r>
        <w:t xml:space="preserve">2. die Berechtigung, die Berufsbezeichnung Apothekerassistent oder Pharmazieingenieur zu führen,</w:t>
      </w:r>
    </w:p>
    <w:p>
      <w:pPr>
        <w:ind w:left="420"/>
      </w:pPr>
      <w:r>
        <w:t xml:space="preserve">3. die Erlaubnis zur Ausübung der Tätigkeit unter der Berufsbezeichnung pharmazeutisch-technischer Assistent oder Apothekenassistent,</w:t>
      </w:r>
    </w:p>
    <w:p>
      <w:pPr>
        <w:ind w:left="420"/>
      </w:pPr>
      <w:r>
        <w:t xml:space="preserve">4. die bestandene Abschlussprüfung nach der Verordnung über die Berufsausbildung zum Drogist/zur Drogistin vom 30. Juni 1992 (BGBl. I S. 1197), die zuletzt durch Artikel 2 Absatz 2 des Gesetzes vom 23. Juli 2001 (BGBl. I S. 1663) geändert worden ist, sofern die Abschlussprüfung der Prüfung der Sachkunde nach Absatz 2 entspricht,</w:t>
      </w:r>
    </w:p>
    <w:p>
      <w:pPr>
        <w:ind w:left="420"/>
      </w:pPr>
      <w:r>
        <w:t xml:space="preserve">5. die bestandene Prüfung zum anerkannten Abschluss Geprüfter Schädlingsbekämpfer/Geprüfte Schädlingsbekämpferin oder</w:t>
      </w:r>
    </w:p>
    <w:p>
      <w:pPr>
        <w:ind w:left="420"/>
      </w:pPr>
      <w:r>
        <w:t xml:space="preserve">6. die bestandene Abschlussprüfung nach der Verordnung über die Berufsausbildung zum Schädlingsbekämpfer/zur Schädlingsbekämpferin vom 15. Juli 2004 (BGBl. I S. 1638).</w:t>
      </w:r>
    </w:p>
    <w:p>
      <w:r>
        <w:t xml:space="preserve">(4) Der Nachweis der Qualifikation nach Absatz 1 Nummer 1 gilt als erbracht für Personen aus den Mitgliedstaaten der Europäischen Union oder anderen Vertragsstaaten des Abkommens über den Europäischen Wirtschaftsraum, wenn sie der zuständigen Behörde nachgewiesen haben, dass sie die Voraussetzungen des Artikels 2 der Richtlinie 74/556/EWG des Rates vom 4. Juni 1974 über die Einzelheiten der Übergangsmaßnahmen auf dem Gebiet der Tätigkeiten des Handels mit und der Verteilung von Giftstoffen und der Tätigkeiten, die die berufliche Verwendung dieser Stoffe umfassen, einschließlich der Vermittlertätigkeiten (ABl. L 307 vom 18.11.1974, S. 1) erfüllen.</w:t>
      </w:r>
    </w:p>
    <w:p>
      <w:r>
        <w:t xml:space="preserve">(5) Nachweise, die in anderen Mitgliedstaaten der Europäischen Union oder anderen Vertragsstaaten des Abkommens über den Europäischen Wirtschaftsraum ausgestellt worden sind, stehen den in Absatz 1 Nummer 2 und Absatz 2 und 3 bezeichneten inländischen Nachweisen gleich, wenn die für die Anerkennung der Gleichwertigkeit zuständige Behörde die Gleichwertigkeit festgestellt hat.</w:t>
      </w:r>
    </w:p>
    <w:p>
      <w:r>
        <w:rPr>
          <w:color w:val="555555"/>
          <w:sz w:val="17"/>
        </w:rPr>
        <w:t xml:space="preserve">Zitiervorschlag: § 11 ChemVerbotsV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https://recht.nulegal.eu/gesetze/ChemVerbotsV%202017/11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