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ChemVerbotsV 2017 — Anwendungsbereich</w:t>
      </w:r>
    </w:p>
    <w:p>
      <w:r>
        <w:rPr>
          <w:color w:val="555555"/>
          <w:sz w:val="18"/>
        </w:rPr>
        <w:t xml:space="preserve">Chemikalien-Verbotsverordnung</w:t>
      </w:r>
    </w:p>
    <w:p>
      <w:r>
        <w:rPr>
          <w:color w:val="555555"/>
          <w:sz w:val="18"/>
        </w:rPr>
        <w:t xml:space="preserve">Stand: 10.06.2019 (konsolidierte Textfassung, kein amtliches Inkrafttretensdatum)</w:t>
      </w:r>
    </w:p>
    <w:p>
      <w:r>
        <w:t xml:space="preserve">Diese Verordnung gilt für das Inverkehrbringen bestimmter gefährlicher Stoffe und Gemische sowie bestimmter Erzeugnisse, die diese freisetzen können oder enthalten, nach dem Chemikaliengesetz. Sie regelt zum Schutz des Menschen und der Umwelt vor stoffbedingten Schädigungen</w:t>
      </w:r>
    </w:p>
    <w:p>
      <w:pPr>
        <w:ind w:left="420"/>
      </w:pPr>
      <w:r>
        <w:t xml:space="preserve">1. Verbote und Beschränkungen des Inverkehrbringens bestimmter gefährlicher Stoffe und Gemische sowie bestimmter Erzeugnisse, die diese freisetzen können oder enthalten,</w:t>
      </w:r>
    </w:p>
    <w:p>
      <w:pPr>
        <w:ind w:left="420"/>
      </w:pPr>
      <w:r>
        <w:t xml:space="preserve">2. Anforderungen, die in Bezug auf die Abgabe bestimmter gefährlicher Stoffe und Gemische einzuhalten sind.</w:t>
      </w:r>
    </w:p>
    <w:p>
      <w:r>
        <w:rPr>
          <w:color w:val="555555"/>
          <w:sz w:val="17"/>
        </w:rPr>
        <w:t xml:space="preserve">Zitiervorschlag: § 1 ChemVerbotsV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https://recht.nulegal.eu/gesetze/ChemVerbotsV%202017/1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