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ChemVOCFarbV</w:t>
      </w:r>
    </w:p>
    <w:p>
      <w:r>
        <w:rPr>
          <w:color w:val="555555"/>
          <w:sz w:val="18"/>
        </w:rPr>
        <w:t xml:space="preserve">Lösemittelhaltige Farben- und Lack-Verordnung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Abs. 1 Nr. 3 Buchstabe a und c, des § 17 Abs. 1 Nr. 1 Buchstabe a bis c sowie Abs. 5 des Chemikaliengesetzes in der Fassung der Bekanntmachung vom 20. Juni 2002 (BGBl. I S. 2090)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ChemVOCFarbV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https://recht.nulegal.eu/gesetze/ChemVOCFarbV/eingangsformel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