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ChemVOCFarbV — Straftaten</w:t>
      </w:r>
    </w:p>
    <w:p>
      <w:r>
        <w:rPr>
          <w:color w:val="555555"/>
          <w:sz w:val="18"/>
        </w:rPr>
        <w:t xml:space="preserve">Lösemittelhaltige Farben- und Lack-Verordnung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27 Abs. 1 Nr. 1, Abs. 2 bis 4 des Chemikaliengesetzes wird bestraft, wer entgegen § 3 Abs. 1 eine Farbe, einen Lack oder ein Produkt in den Verkehr bringt.</w:t>
      </w:r>
    </w:p>
    <w:p>
      <w:r>
        <w:rPr>
          <w:color w:val="555555"/>
          <w:sz w:val="17"/>
        </w:rPr>
        <w:t xml:space="preserve">Zitiervorschlag: § 7 ChemVOCFarbV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https://recht.nulegal.eu/gesetze/ChemVOCFarbV/7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