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ChemVOCFarbV — Kennzeichnung</w:t>
      </w:r>
    </w:p>
    <w:p>
      <w:r>
        <w:rPr>
          <w:color w:val="555555"/>
          <w:sz w:val="18"/>
        </w:rPr>
        <w:t xml:space="preserve">Lösemittelhaltige Farben- und Lack-Verordnung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Der Hersteller oder Einführer hat die in Anhang I aufgeführten gebrauchsfertigen Produkte vor dem Inverkehrbringen, unbeschadet anderer Kennzeichnungsvorschriften, mit einem Etikett zu versehen, auf dem folgende Angaben waagerecht und deutlich lesbar anzubringen sind:</w:t>
      </w:r>
    </w:p>
    <w:p>
      <w:pPr>
        <w:ind w:left="420"/>
      </w:pPr>
      <w:r>
        <w:t xml:space="preserve">a) die Produktkategorie des gebrauchsfertigen Produktes und die entsprechenden Grenzwerte für flüchtige organische Verbindungen in g/l gemäß Anhang II;</w:t>
      </w:r>
    </w:p>
    <w:p>
      <w:pPr>
        <w:ind w:left="420"/>
      </w:pPr>
      <w:r>
        <w:t xml:space="preserve">b) der maximale Gehalt an flüchtigen organischen Verbindungen des gebrauchsfertigen Produktes in g/l.</w:t>
      </w:r>
    </w:p>
    <w:p>
      <w:r>
        <w:t xml:space="preserve">Satz 1 gilt nicht, soweit ein Einführer lediglich einen Transitverkehr unter zollamtlicher Überwachung durchführt, bei dem keine Be- oder Verarbeitung erfolgt.</w:t>
      </w:r>
    </w:p>
    <w:p>
      <w:r>
        <w:rPr>
          <w:color w:val="555555"/>
          <w:sz w:val="17"/>
        </w:rPr>
        <w:t xml:space="preserve">Zitiervorschlag: § 4 ChemVOCFarbV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https://recht.nulegal.eu/gesetze/ChemVOCFarbV/4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