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ChemVOCFarbV — Verbote</w:t>
      </w:r>
    </w:p>
    <w:p>
      <w:r>
        <w:rPr>
          <w:color w:val="555555"/>
          <w:sz w:val="18"/>
        </w:rPr>
        <w:t xml:space="preserve">Lösemittelhaltige Farben- und Lack-Verordnung</w:t>
      </w:r>
    </w:p>
    <w:p>
      <w:r>
        <w:rPr>
          <w:color w:val="555555"/>
          <w:sz w:val="18"/>
        </w:rPr>
        <w:t xml:space="preserve">Stand: 02.04.2026 (konsolidierte Textfassung, kein amtliches Inkrafttretensdatum)</w:t>
      </w:r>
    </w:p>
    <w:p>
      <w:r>
        <w:t xml:space="preserve">(1) In Anhang I aufgeführte</w:t>
      </w:r>
    </w:p>
    <w:p>
      <w:pPr>
        <w:ind w:left="420"/>
      </w:pPr>
      <w:r>
        <w:t xml:space="preserve">a) Farben und Lacke zur Beschichtung von Gebäuden, ihren Bauteilen und dekorativen Bauelementen sowie</w:t>
      </w:r>
    </w:p>
    <w:p>
      <w:pPr>
        <w:ind w:left="420"/>
      </w:pPr>
      <w:r>
        <w:t xml:space="preserve">b) Produkte für die Fahrzeugreparaturlackierung</w:t>
      </w:r>
    </w:p>
    <w:p>
      <w:r>
        <w:t xml:space="preserve">mit einem Gehalt an flüchtigen organischen Verbindungen des gebrauchsfertigen Produkts oberhalb der in Anhang II festgelegten Grenzwerte dürfen ab den in Anhang II genannten Zeitpunkten nicht in den Verkehr gebracht werden. Satz 1 gilt nicht für den Export in Staaten außerhalb der Europäischen Union oder für den Transitverkehr unter zollamtlicher Überwachung, bei dem keine Be- oder Verarbeitung erfolgt.</w:t>
      </w:r>
    </w:p>
    <w:p>
      <w:r>
        <w:t xml:space="preserve">(2) Zur Überprüfung der Einhaltung der in Anhang II festgelegten Grenzwerte für den Gehalt an flüchtigen organischen Verbindungen sind die in Anhang III genannten Analysemethoden zu verwenden.</w:t>
      </w:r>
    </w:p>
    <w:p>
      <w:r>
        <w:t xml:space="preserve">(3) Abweichend von Absatz 1 dürfen gebrauchsfertige Produkte, die die Grenzwerte des Anhangs II für flüchtige organische Verbindungen nicht einhalten, in den Verkehr gebracht werden zum Zwecke der</w:t>
      </w:r>
    </w:p>
    <w:p>
      <w:pPr>
        <w:ind w:left="420"/>
      </w:pPr>
      <w:r>
        <w:t xml:space="preserve">a) ausschließlichen Verwendung im Rahmen einer von der Verordnung zur Begrenzung der Emissionen flüchtiger organischer Verbindungen bei der Verwendung organischer Lösemittel in bestimmten Anlagen erfassten Tätigkeit, soweit diese in einer nach § 5 Abs. 2 dieser Verordnung angezeigten Anlage oder in einer nach § 4 des Bundes-Immissionsschutzgesetzes genehmigten Anlage durchgeführt wird, und</w:t>
      </w:r>
    </w:p>
    <w:p>
      <w:pPr>
        <w:ind w:left="420"/>
      </w:pPr>
      <w:r>
        <w:t xml:space="preserve">b) Restaurierung und Unterhaltung von Gebäuden, ihren Bauteilen und dekorativen Bauelementen sowie von Oldtimer-Fahrzeugen, die als historisch und kulturell besonders wertvoll eingestuft sind. Der Kauf und Verkauf von streng begrenzten Mengen dieser Stoffe und Gemische bedarf im Einzelfall der Erlaubnis der zuständigen Behörde.</w:t>
      </w:r>
    </w:p>
    <w:p>
      <w:r>
        <w:t xml:space="preserve">(4) Stoffe und Gemische, die vor den in Anhang II festgelegten Zeitpunkten hergestellt wurden und die Anforderungen des Absatzes 1 nicht erfüllen, dürfen bis zu zwölf Monate nach dem Inkrafttreten der für die betreffenden Stoffe und Gemische geltenden Anforderung in den Verkehr gebracht werden.</w:t>
      </w:r>
    </w:p>
    <w:p>
      <w:r>
        <w:rPr>
          <w:color w:val="555555"/>
          <w:sz w:val="17"/>
        </w:rPr>
        <w:t xml:space="preserve">Zitiervorschlag: § 3 ChemVOCFarbV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https://recht.nulegal.eu/gesetze/ChemVOCFarbV/3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