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ChemVOCFarbV — Zweck und Anwendungsbereich</w:t>
      </w:r>
    </w:p>
    <w:p>
      <w:r>
        <w:rPr>
          <w:color w:val="555555"/>
          <w:sz w:val="18"/>
        </w:rPr>
        <w:t xml:space="preserve">Lösemittelhaltige Farben- und Lack-Verordnung</w:t>
      </w:r>
    </w:p>
    <w:p>
      <w:r>
        <w:rPr>
          <w:color w:val="555555"/>
          <w:sz w:val="18"/>
        </w:rPr>
        <w:t xml:space="preserve">Stand: 10.06.2019 (konsolidierte Textfassung, kein amtliches Inkrafttretensdatum)</w:t>
      </w:r>
    </w:p>
    <w:p>
      <w:r>
        <w:t xml:space="preserve">Zweck dieser Verordnung ist es, den Gehalt an flüchtigen organischen Verbindungen in bestimmten Farben und Lacken zur Beschichtung von Gebäuden, ihren Bauteilen und dekorativen Bauelementen sowie in Produkten der Fahrzeugreparaturlackierung zu begrenzen, um die aus dem Beitrag der flüchtigen organischen Verbindungen zur Bildung von bodennahem Ozon resultierende Luftverschmutzung zu vermeiden oder zu verringern.</w:t>
      </w:r>
    </w:p>
    <w:p>
      <w:r>
        <w:rPr>
          <w:color w:val="555555"/>
          <w:sz w:val="17"/>
        </w:rPr>
        <w:t xml:space="preserve">Zitiervorschlag: § 1 ChemVOCFarbV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https://recht.nulegal.eu/gesetze/ChemVOCFarbV/1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