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ChemSanktionsV — Straftaten nach der Verordnung (EU) Nr. 649/2012</w:t>
      </w:r>
    </w:p>
    <w:p>
      <w:r>
        <w:rPr>
          <w:color w:val="555555"/>
          <w:sz w:val="18"/>
        </w:rPr>
        <w:t xml:space="preserve">Chemikalien-Sanktionsverordnung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Nach § 27 Absatz 1 Nummer 3 Satzteil vor Satz 2, Absatz 1a bis 4 des Chemikaliengesetzes wird bestraft, wer gegen die Verordnung (EU) Nr. 649/2012 des Europäischen Parlaments und des Rates vom 4. Juli 2012 über die Aus- und Einfuhr gefährlicher Chemikalien (ABl. L 201 vom 27.7.2012, S. 60), die zuletzt durch die Delegierte Verordnung (EU) 2023/1656 (ABl. L 210 vom 25.8.2023, S. 1) geändert worden ist, verstößt, indem er vorsätzlich oder fahrlässig</w:t>
      </w:r>
    </w:p>
    <w:p>
      <w:pPr>
        <w:ind w:left="420"/>
      </w:pPr>
      <w:r>
        <w:t xml:space="preserve">1. ohne Zustimmung nach Artikel 14 Absatz 6 Unterabsatz 1 Buchstabe a einen dort genannten Stoff oder ein dort genanntes Gemisch ausführt,</w:t>
      </w:r>
    </w:p>
    <w:p>
      <w:pPr>
        <w:ind w:left="420"/>
      </w:pPr>
      <w:r>
        <w:t xml:space="preserve">2. entgegen Artikel 14 Absatz 10 Satz 1 eine Chemikalie später als sechs Monate vor dem Verfallsdatum ausführt oder</w:t>
      </w:r>
    </w:p>
    <w:p>
      <w:pPr>
        <w:ind w:left="420"/>
      </w:pPr>
      <w:r>
        <w:t xml:space="preserve">3. entgegen Artikel 15 Absatz 2 eine Chemikalie oder einen Artikel ausführt.</w:t>
      </w:r>
    </w:p>
    <w:p>
      <w:r>
        <w:rPr>
          <w:color w:val="555555"/>
          <w:sz w:val="17"/>
        </w:rPr>
        <w:t xml:space="preserve">Zitiervorschlag: § 6 ChemSanktionsV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https://recht.nulegal.eu/gesetze/ChemSanktionsV/6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