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ChemSanktionsV — Ordnungswidrigkeiten nach der Verordnung (EG) Nr. 1907/2006</w:t>
      </w:r>
    </w:p>
    <w:p>
      <w:r>
        <w:rPr>
          <w:color w:val="555555"/>
          <w:sz w:val="18"/>
        </w:rPr>
        <w:t xml:space="preserve">Chemikalien-Sanktionsverordnung</w:t>
      </w:r>
    </w:p>
    <w:p>
      <w:r>
        <w:rPr>
          <w:color w:val="555555"/>
          <w:sz w:val="18"/>
        </w:rPr>
        <w:t xml:space="preserve">Stand: 13.04.2025 (konsolidierte Textfassung, kein amtliches Inkrafttretensdatum)</w:t>
      </w:r>
    </w:p>
    <w:p>
      <w:r>
        <w:t xml:space="preserve">(1) Ordnungswidrig im Sinne des § 26 Absatz 2 Nummer 1 Buchstabe a des Chemikaliengesetzes handelt, wer gegen die Verordnung (EG) Nr. 1907/2006 verstößt, indem er vorsätzlich oder fahrlässig</w:t>
      </w:r>
    </w:p>
    <w:p>
      <w:pPr>
        <w:ind w:left="420"/>
      </w:pPr>
      <w:r>
        <w:t xml:space="preserve">1. entgegen Artikel 65 Satz 1, auch in Verbindung mit Satz 2, eine Zulassungsnummer nicht, nicht richtig oder nicht rechtzeitig in das Etikett aufnimmt,</w:t>
      </w:r>
    </w:p>
    <w:p>
      <w:pPr>
        <w:ind w:left="420"/>
      </w:pPr>
      <w:r>
        <w:t xml:space="preserve">2. entgegen Artikel 67 Absatz 1 Satz 1 in Verbindung mit Nummer 3 der Spalte 1 des Anhangs XVII in Verbindung mit Absatz 5 der zugehörigen Spalte 2 nicht sicherstellt, dass eine dort genannte Anforderung erfüllt ist,</w:t>
      </w:r>
    </w:p>
    <w:p>
      <w:pPr>
        <w:ind w:left="420"/>
      </w:pPr>
      <w:r>
        <w:t xml:space="preserve">3. entgegen Artikel 67 Absatz 1 Satz 1 in Verbindung mit Nummer 23 der Spalte 1 des Anhangs XVII in Verbindung mit Absatz 4 Unterabsatz 2 der zugehörigen Spalte 2 nicht gewährleistet, dass ein dort genanntes Gemisch mit der dort genannten Aufschrift oder dem dort genannten Piktogramm versehen ist,</w:t>
      </w:r>
    </w:p>
    <w:p>
      <w:pPr>
        <w:ind w:left="420"/>
      </w:pPr>
      <w:r>
        <w:t xml:space="preserve">4. entgegen Artikel 67 Absatz 1 Satz 1 in Verbindung mit Nummer 28, 29 oder Nummer 30 der Spalte 1 des Anhangs XVII, jeweils in Verbindung mit Absatz 1 Unterabsatz 2 der zugehörigen Spalte 2, nicht gewährleistet, dass eine dort genannte Verpackung mit der dort genannten Aufschrift versehen ist,</w:t>
      </w:r>
    </w:p>
    <w:p>
      <w:pPr>
        <w:ind w:left="420"/>
      </w:pPr>
      <w:r>
        <w:t xml:space="preserve">5. entgegen Artikel 67 Absatz 1 Satz 1 in Verbindung mit Nummer 31 der Spalte 1 des Anhangs XVII in Verbindung mit Absatz 2 Buchstabe a Unterabsatz 2 der zugehörigen Spalte 2 nicht gewährleistet, dass eine dort genannte Verpackung mit der dort genannten Aufschrift versehen ist,</w:t>
      </w:r>
    </w:p>
    <w:p>
      <w:pPr>
        <w:ind w:left="420"/>
      </w:pPr>
      <w:r>
        <w:t xml:space="preserve">6. entgegen Artikel 67 Absatz 1 Satz 1 in Verbindung mit Nummer 32, 34 bis 37 oder Nummer 38 der Spalte 1 des Anhangs XVII, jeweils in Verbindung mit Absatz 2 Unterabsatz 1 der zugehörigen Spalte 2, nicht gewährleistet, dass eine dort genannte Verpackung mit der dort genannten Aufschrift versehen ist,</w:t>
      </w:r>
    </w:p>
    <w:p>
      <w:pPr>
        <w:ind w:left="420"/>
      </w:pPr>
      <w:r>
        <w:t xml:space="preserve">7. entgegen Artikel 67 Absatz 1 Satz 1 in Verbindung mit Nummer 40 der Spalte 1 des Anhangs XVII in Verbindung mit Absatz 2 der zugehörigen Spalte 2 nicht gewährleistet, dass eine dort genannte Verpackung mit der dort genannten Aufschrift versehen ist,</w:t>
      </w:r>
    </w:p>
    <w:p>
      <w:pPr>
        <w:ind w:left="420"/>
      </w:pPr>
      <w:r>
        <w:t xml:space="preserve">8. entgegen Artikel 67 Absatz 1 Satz 1 in Verbindung mit Nummer 47 der Spalte 1 des Anhangs XVII in Verbindung mit Absatz 2 der zugehörigen Spalte 2 nicht gewährleistet, dass auf einer dort genannten Verpackung die dort genannten Informationen angegeben sind,</w:t>
      </w:r>
    </w:p>
    <w:p>
      <w:pPr>
        <w:ind w:left="420"/>
      </w:pPr>
      <w:r>
        <w:t xml:space="preserve">9. entgegen Artikel 67 Absatz 1 Satz 1 in Verbindung mit Nummer 55 der Spalte 1 des Anhangs XVII in Verbindung mit Absatz 3 der zugehörigen Spalte 2 nicht gewährleistet, dass eine dort genannte Farbe mit der dort genannten Aufschrift versehen ist,</w:t>
      </w:r>
    </w:p>
    <w:p>
      <w:pPr>
        <w:ind w:left="420"/>
      </w:pPr>
      <w:r>
        <w:t xml:space="preserve">10. entgegen Artikel 67 Absatz 1 Satz 1 in Verbindung mit Nummer 57 der Spalte 1 des Anhangs XVII in Verbindung mit Absatz 3 der zugehörigen Spalte 2 nicht gewährleistet, dass ein dort genannter Kontaktklebstoff mit der dort genannten Aufschrift versehen ist,</w:t>
      </w:r>
    </w:p>
    <w:p>
      <w:pPr>
        <w:ind w:left="420"/>
      </w:pPr>
      <w:r>
        <w:t xml:space="preserve">11. entgegen Artikel 67 Absatz 1 Satz 1 in Verbindung mit Nummer 63 der Spalte 1 des Anhangs XVII in Verbindung mit</w:t>
      </w:r>
    </w:p>
    <w:p>
      <w:pPr>
        <w:ind w:left="780"/>
      </w:pPr>
      <w:r>
        <w:t xml:space="preserve">a) Absatz 18 Unterabsatz 3 Satz 1 der zugehörigen Spalte 2 nicht sicherstellt, dass ein dort genanntes PVC-Erzeugnis mit der dort genannten Angabe versehen ist, oder</w:t>
      </w:r>
    </w:p>
    <w:p>
      <w:pPr>
        <w:ind w:left="780"/>
      </w:pPr>
      <w:r>
        <w:t xml:space="preserve">b) Absatz 18 Unterabsatz 3 Satz 2 der zugehörigen Spalte 2 eine dort genannte Kennzeichnung nicht, nicht richtig, nicht vollständig oder nicht vor dem Inverkehrbringen auf der Verpackung anbringt,</w:t>
      </w:r>
    </w:p>
    <w:p>
      <w:pPr>
        <w:ind w:left="420"/>
      </w:pPr>
      <w:r>
        <w:t xml:space="preserve">12. entgegen Artikel 67 Absatz 1 Satz 1 in Verbindung mit Nummer 73 der Spalte 1 des Anhangs XVII in Verbindung mit Absatz 3, auch in Verbindung mit Absatz 5, der zugehörigen Spalte 2 eine dort genannte Verpackung nicht oder nicht richtig kennzeichnet,</w:t>
      </w:r>
    </w:p>
    <w:p>
      <w:pPr>
        <w:ind w:left="420"/>
      </w:pPr>
      <w:r>
        <w:t xml:space="preserve">13. entgegen Artikel 67 Absatz 1 Satz 1 in Verbindung mit Nummer 75 der Spalte 1 des Anhangs XVII in Verbindung mit</w:t>
      </w:r>
    </w:p>
    <w:p>
      <w:pPr>
        <w:ind w:left="780"/>
      </w:pPr>
      <w:r>
        <w:t xml:space="preserve">a) Absatz 7 der zugehörigen Spalte 2 nicht sicherstellt, dass ein dort genanntes Gemisch mit der dort genannten Kennzeichnung versehen ist, oder</w:t>
      </w:r>
    </w:p>
    <w:p>
      <w:pPr>
        <w:ind w:left="780"/>
      </w:pPr>
      <w:r>
        <w:t xml:space="preserve">b) Absatz 8 der zugehörigen Spalte 2 ein Gemisch zu Tätowierungszwecken verwendet, dass nicht die dort genannte Angabe trägt, oder</w:t>
      </w:r>
    </w:p>
    <w:p>
      <w:pPr>
        <w:ind w:left="420"/>
      </w:pPr>
      <w:r>
        <w:t xml:space="preserve">14. entgegen Artikel 67 Absatz 1 Satz 1 in Verbindung mit Nummer 78 der Spalte 1 des Anhangs XVII in Verbindung mit Absatz 9 Satz 1, auch in Verbindung mit Absatz 10 Satz 1, 2 oder Satz 4, der zugehörigen Spalte 2 ein dort genanntes Produkt nicht, nicht richtig oder nicht vollständig mit dem den dort genannten Hinweis versieht.</w:t>
      </w:r>
    </w:p>
    <w:p>
      <w:r>
        <w:t xml:space="preserve">(2) Ordnungswidrig im Sinne des § 26 Absatz 2 Nummer 2 Buchstabe a des Chemikaliengesetzes handelt, wer vorsätzlich oder fahrlässig entgegen Artikel 67 Absatz 1 Satz 1 der Verordnung (EG) Nr. 1907/2006 in Verbindung mit Nummer 19 der Spalte 1 des Anhangs XVII in Verbindung mit Absatz 4 Buchstabe c der zugehörigen Spalte 2 der Verordnung (EG) Nr. 1907/2006 nicht gewährleistet, dass behandeltes Holz einzeln oder ein in einem Paket in Verkehr gebrachtes Holz mit einer dort genannten Aufschrift versehen ist.</w:t>
      </w:r>
    </w:p>
    <w:p>
      <w:r>
        <w:t xml:space="preserve">(3) Ordnungswidrig im Sinne des § 26 Absatz 2 Nummer 2 Buchstabe c des Chemikaliengesetzes handelt, wer gegen die Verordnung (EG) Nr. 1907/2006 verstößt, indem er vorsätzlich oder fahrlässig</w:t>
      </w:r>
    </w:p>
    <w:p>
      <w:pPr>
        <w:ind w:left="420"/>
      </w:pPr>
      <w:r>
        <w:t xml:space="preserve">1. einer vollziehbaren Auflage nach Artikel 9 Absatz 4 Unterabsatz 1 über die Handhabung eines dort genannten Gemischs oder eines dort genannten Erzeugnisses zuwiderhandelt oder</w:t>
      </w:r>
    </w:p>
    <w:p>
      <w:pPr>
        <w:ind w:left="420"/>
      </w:pPr>
      <w:r>
        <w:t xml:space="preserve">2. entgegen Artikel 67 Absatz 1 Satz 1 in Verbindung mit Nummer 65 der Spalte 1 des Anhangs XVII in Verbindung mit Absatz 1 Unterabsatz 3 der zugehörigen Spalte 2 nicht sicherstellt, dass bei der Verwendung des Zellstoffisoliermaterialgemischs die mitgeteilte Beladungsrate nicht überschritten wird.</w:t>
      </w:r>
    </w:p>
    <w:p>
      <w:r>
        <w:t xml:space="preserve">(4) Ordnungswidrig im Sinne des § 26 Absatz 2 Nummer 2 Buchstabe e des Chemikaliengesetzes handelt, wer gegen Artikel 67 Absatz 1 Satz 1 in Verbindung mit Anhang XVII der Verordnung (EG) Nr. 1907/2006 verstößt, indem er vorsätzlich oder fahrlässig</w:t>
      </w:r>
    </w:p>
    <w:p>
      <w:pPr>
        <w:ind w:left="420"/>
      </w:pPr>
      <w:r>
        <w:t xml:space="preserve">1. einer vollziehbaren Anordnung nach Nummer 63 der Spalte 1 des Anhangs XVII in Verbindung mit Absatz 18 Unterabsatz 4 Satz 1 der zugehörigen Spalte 2 zuwiderhandelt,</w:t>
      </w:r>
    </w:p>
    <w:p>
      <w:pPr>
        <w:ind w:left="420"/>
      </w:pPr>
      <w:r>
        <w:t xml:space="preserve">2. entgegen Nummer 65 der Spalte 1 des Anhangs XVII in Verbindung mit Absatz 1 Unterabsatz 2 der zugehörigen Spalte 2 eine Information nicht, nicht richtig, nicht vollständig oder nicht bei Lieferung eines dort genannten Gemisches gibt,</w:t>
      </w:r>
    </w:p>
    <w:p>
      <w:pPr>
        <w:ind w:left="420"/>
      </w:pPr>
      <w:r>
        <w:t xml:space="preserve">3. entgegen Nummer 73 der Spalte 1 des Anhangs XVII in Verbindung mit Absatz 4, auch in Verbindung mit Absatz 5, der zugehörigen Spalte 2 in ein Sicherheitsdatenblatt eine dort genannte Angabe nicht richtig aufnimmt,</w:t>
      </w:r>
    </w:p>
    <w:p>
      <w:pPr>
        <w:ind w:left="420"/>
      </w:pPr>
      <w:r>
        <w:t xml:space="preserve">4. entgegen Nummer 74 der Spalte 1 des Anhangs XVII in Verbindung mit</w:t>
      </w:r>
    </w:p>
    <w:p>
      <w:pPr>
        <w:ind w:left="780"/>
      </w:pPr>
      <w:r>
        <w:t xml:space="preserve">a) Absatz 7 Satz 1 der zugehörigen Spalte 2 nicht sicherstellt, dass dort genannte Schulungsmaterialien oder Schulungen zur Verfügung gestellt werden oder</w:t>
      </w:r>
    </w:p>
    <w:p>
      <w:pPr>
        <w:ind w:left="780"/>
      </w:pPr>
      <w:r>
        <w:t xml:space="preserve">b) Absatz 8 Satz 1 der zugehörigen Spalte 2 eine Dokumentation nicht, nicht richtig oder nicht unverzüglich nach Abschluss der Schulung vornimmt,</w:t>
      </w:r>
    </w:p>
    <w:p>
      <w:pPr>
        <w:ind w:left="420"/>
      </w:pPr>
      <w:r>
        <w:t xml:space="preserve">5. entgegen Nummer 78 der Spalte 1 des Anhangs XVII in Verbindung mit</w:t>
      </w:r>
    </w:p>
    <w:p>
      <w:pPr>
        <w:ind w:left="780"/>
      </w:pPr>
      <w:r>
        <w:t xml:space="preserve">a) Absatz 7 oder Absatz 8, jeweils auch in Verbindung mit Absatz 10 Unterabsatz 1 Satz 1 oder Satz 2 oder Unterabsatz 2, der zugehörigen Spalte 2 eine dort genannte Information nicht, nicht richtig, nicht vollständig oder nicht in der vorgeschriebenen Weise bereitstellt oder eine Anweisung nicht, nicht richtig, nicht vollständig oder nicht in der vorgeschriebenen Weise zur Verfügung stellt,</w:t>
      </w:r>
    </w:p>
    <w:p>
      <w:pPr>
        <w:ind w:left="780"/>
      </w:pPr>
      <w:r>
        <w:t xml:space="preserve">b) Absatz 11 oder Absatz 12 der zugehörigen Spalte 2 eine dort genannte Information nicht, nicht richtig, nicht vollständig oder nicht rechtzeitig vorlegt,</w:t>
      </w:r>
    </w:p>
    <w:p>
      <w:pPr>
        <w:ind w:left="780"/>
      </w:pPr>
      <w:r>
        <w:t xml:space="preserve">c) Absatz 14 Unterabsatz 2 der zugehörigen Spalte 2 die zuständige Behörde nicht, nicht richtig oder nicht rechtzeitig unterrichtet,</w:t>
      </w:r>
    </w:p>
    <w:p>
      <w:pPr>
        <w:ind w:left="780"/>
      </w:pPr>
      <w:r>
        <w:t xml:space="preserve">d) Absatz 14 Unterabsatz 3 oder Unterabsatz 4 der zugehörigen Spalte 2 eine dort genannte Information nicht, nicht richtig, nicht vollständig oder nicht rechtzeitig übermittelt oder nicht, nicht richtig, nicht vollständig oder nicht rechtzeitig weiterleitet oder</w:t>
      </w:r>
    </w:p>
    <w:p>
      <w:pPr>
        <w:ind w:left="420"/>
      </w:pPr>
      <w:r>
        <w:t xml:space="preserve">6. einer vollziehbaren Anordnung nach Nummer 78 der Spalte 1 des Anhangs XVII in Verbindung mit Absatz 14 Unterabsatz 1 Satz 1 in Verbindung mit Satz 2 oder Absatz 15 der zugehörigen Spalte 2 zuwiderhandelt.</w:t>
      </w:r>
    </w:p>
    <w:p>
      <w:r>
        <w:t xml:space="preserve">(5) Ordnungswidrig im Sinne des § 26 Absatz 2 Nummer 3 Buchstabe a des Chemikaliengesetzes handelt, wer gegen die Verordnung (EG) Nr. 1907/2006 verstößt, indem er vorsätzlich oder fahrlässig</w:t>
      </w:r>
    </w:p>
    <w:p>
      <w:pPr>
        <w:ind w:left="420"/>
      </w:pPr>
      <w:r>
        <w:t xml:space="preserve">1. entgegen Artikel 8 Absatz 2 Satz 2 eine dort genannte Information nicht, nicht richtig oder nicht vollständig bereithält oder nicht, nicht richtig, nicht vollständig oder nicht unverzüglich aktualisiert,</w:t>
      </w:r>
    </w:p>
    <w:p>
      <w:pPr>
        <w:ind w:left="420"/>
      </w:pPr>
      <w:r>
        <w:t xml:space="preserve">2. einer vollziehbaren Anordnung nach Artikel 9 Absatz 4 Unterabsatz 2 zuwiderhandelt,</w:t>
      </w:r>
    </w:p>
    <w:p>
      <w:pPr>
        <w:ind w:left="420"/>
      </w:pPr>
      <w:r>
        <w:t xml:space="preserve">3. entgegen Artikel 14 Absatz 1 Unterabsatz 1 in Verbindung mit Artikel 37 Absatz 3 Unterabsatz 1 oder Unterabsatz 2 einen Stoffsicherheitsbericht nicht, nicht richtig, nicht vollständig oder nicht rechtzeitig erstellt,</w:t>
      </w:r>
    </w:p>
    <w:p>
      <w:pPr>
        <w:ind w:left="420"/>
      </w:pPr>
      <w:r>
        <w:t xml:space="preserve">4. entgegen Artikel 14 Absatz 7 einen Stoffsicherheitsbericht nicht, nicht richtig oder nicht vollständig zur Verfügung hält oder nicht oder nicht vollständig auf dem neuesten Stand hält,</w:t>
      </w:r>
    </w:p>
    <w:p>
      <w:pPr>
        <w:ind w:left="420"/>
      </w:pPr>
      <w:r>
        <w:t xml:space="preserve">5. entgegen Artikel 17 Absatz 1 oder Artikel 18 Absatz 1, auch in Verbindung mit Artikel 18 Absatz 3, ein Registrierungsdossier nicht, nicht richtig, nicht vollständig oder nicht unverzüglich nach Überschreitung der dort genannten Mengenschwellen einreicht,</w:t>
      </w:r>
    </w:p>
    <w:p>
      <w:pPr>
        <w:ind w:left="420"/>
      </w:pPr>
      <w:r>
        <w:t xml:space="preserve">6. entgegen Artikel 22 Absatz 1 Unterabsatz 1 eine Registrierung nicht, nicht richtig, nicht vollständig oder nicht rechtzeitig aktualisiert oder nicht, nicht richtig, nicht vollständig oder nicht rechtzeitig übermittelt,</w:t>
      </w:r>
    </w:p>
    <w:p>
      <w:pPr>
        <w:ind w:left="420"/>
      </w:pPr>
      <w:r>
        <w:t xml:space="preserve">7. entgegen Artikel 22 Absatz 2 Satz 1 eine Aktualisierung des Registrierungsdossiers der Agentur nicht, nicht richtig, nicht vollständig oder nicht rechtzeitig unterbreitet,</w:t>
      </w:r>
    </w:p>
    <w:p>
      <w:pPr>
        <w:ind w:left="420"/>
      </w:pPr>
      <w:r>
        <w:t xml:space="preserve">8. entgegen Artikel 24 Absatz 2 als Hersteller oder Importeur eine dort genannte Information nicht, nicht richtig, nicht vollständig oder nicht rechtzeitig einreicht,</w:t>
      </w:r>
    </w:p>
    <w:p>
      <w:pPr>
        <w:ind w:left="420"/>
      </w:pPr>
      <w:r>
        <w:t xml:space="preserve">9. entgegen Artikel 26 Absatz 1 Satz 1 sich bei der Agentur vor einer Registrierung nicht erkundigt,</w:t>
      </w:r>
    </w:p>
    <w:p>
      <w:pPr>
        <w:ind w:left="420"/>
      </w:pPr>
      <w:r>
        <w:t xml:space="preserve">10. entgegen Artikel 31 Absatz 1 oder Absatz 3, jeweils in Verbindung mit Artikel 31 Absatz 5, 6 oder Absatz 8, ein Sicherheitsdatenblatt nicht, nicht richtig, nicht vollständig, nicht in der vorgeschriebenen Weise oder nicht rechtzeitig zur Verfügung stellt,</w:t>
      </w:r>
    </w:p>
    <w:p>
      <w:pPr>
        <w:ind w:left="420"/>
      </w:pPr>
      <w:r>
        <w:t xml:space="preserve">11. entgegen Artikel 31 Absatz 2 Satz 1 nicht dafür sorgt, dass die Informationen im Sicherheitsdatenblatt mit den Angaben in der Stoffsicherheitsbeurteilung übereinstimmen,</w:t>
      </w:r>
    </w:p>
    <w:p>
      <w:pPr>
        <w:ind w:left="420"/>
      </w:pPr>
      <w:r>
        <w:t xml:space="preserve">12. entgegen Artikel 31 Absatz 7 ein Expositionsszenario zu einer identifizierten Verwendung nicht, nicht richtig, nicht vollständig oder nicht rechtzeitig beifügt, nicht, nicht richtig, nicht vollständig oder nicht rechtzeitig einbezieht oder nicht, nicht richtig, nicht vollständig oder nicht rechtzeitig weitergibt,</w:t>
      </w:r>
    </w:p>
    <w:p>
      <w:pPr>
        <w:ind w:left="420"/>
      </w:pPr>
      <w:r>
        <w:t xml:space="preserve">13. entgegen Artikel 31 Absatz 9 das Sicherheitsdatenblatt nicht, nicht richtig, nicht vollständig oder nicht rechtzeitig aktualisiert oder den früheren Abnehmern nicht oder nicht rechtzeitig zur Verfügung stellt,</w:t>
      </w:r>
    </w:p>
    <w:p>
      <w:pPr>
        <w:ind w:left="420"/>
      </w:pPr>
      <w:r>
        <w:t xml:space="preserve">14. entgegen Artikel 32 eine dort genannte Information nicht, nicht richtig, nicht vollständig, nicht in der vorgeschriebenen Weise oder nicht rechtzeitig zur Verfügung stellt, nicht, nicht in der vorgeschriebenen Weise oder nicht rechtzeitig übermittelt oder nicht, nicht richtig, nicht vollständig oder nicht rechtzeitig aktualisiert,</w:t>
      </w:r>
    </w:p>
    <w:p>
      <w:pPr>
        <w:ind w:left="420"/>
      </w:pPr>
      <w:r>
        <w:t xml:space="preserve">15. entgegen Artikel 33 eine dort genannte Information nicht, nicht richtig, nicht vollständig, nicht in der vorgeschriebenen Weise oder nicht rechtzeitig zur Verfügung stellt,</w:t>
      </w:r>
    </w:p>
    <w:p>
      <w:pPr>
        <w:ind w:left="420"/>
      </w:pPr>
      <w:r>
        <w:t xml:space="preserve">16. entgegen Artikel 34 Satz 1 oder Satz 2 eine dort genannte Information nicht, nicht richtig, nicht vollständig oder nicht unverzüglich zur Verfügung stellt oder nicht, nicht richtig, nicht vollständig oder nicht unverzüglich weiterleitet,</w:t>
      </w:r>
    </w:p>
    <w:p>
      <w:pPr>
        <w:ind w:left="420"/>
      </w:pPr>
      <w:r>
        <w:t xml:space="preserve">17. entgegen Artikel 35 einen Zugang nicht gewährt,</w:t>
      </w:r>
    </w:p>
    <w:p>
      <w:pPr>
        <w:ind w:left="420"/>
      </w:pPr>
      <w:r>
        <w:t xml:space="preserve">18. entgegen Artikel 36 Absatz 1 Satz 1, auch in Verbindung mit Artikel 36 Absatz 2, eine dort genannte Information nicht oder nicht mindestens zehn Jahre zur Verfügung hält,</w:t>
      </w:r>
    </w:p>
    <w:p>
      <w:pPr>
        <w:ind w:left="420"/>
      </w:pPr>
      <w:r>
        <w:t xml:space="preserve">19. entgegen Artikel 36 Absatz 1 Satz 2, auch in Verbindung mit Artikel 36 Absatz 2, eine dort genannte Information nicht, nicht richtig, nicht vollständig oder nicht rechtzeitig vorlegt oder nicht, nicht richtig, nicht vollständig oder nicht rechtzeitig zugänglich macht,</w:t>
      </w:r>
    </w:p>
    <w:p>
      <w:pPr>
        <w:ind w:left="420"/>
      </w:pPr>
      <w:r>
        <w:t xml:space="preserve">20. entgegen Artikel 37 Absatz 7 einen Stoffsicherheitsbericht nicht, nicht richtig oder nicht vollständig zur Verfügung hält oder nicht oder nicht vollständig auf dem neuesten Stand hält,</w:t>
      </w:r>
    </w:p>
    <w:p>
      <w:pPr>
        <w:ind w:left="420"/>
      </w:pPr>
      <w:r>
        <w:t xml:space="preserve">21. entgegen Artikel 38 Absatz 1 oder Absatz 3 eine dort genannte Information nicht, nicht richtig, nicht vollständig oder nicht rechtzeitig mitteilt oder nicht, nicht richtig, nicht vollständig oder nicht rechtzeitig aktualisiert,</w:t>
      </w:r>
    </w:p>
    <w:p>
      <w:pPr>
        <w:ind w:left="420"/>
      </w:pPr>
      <w:r>
        <w:t xml:space="preserve">22. entgegen Artikel 38 Absatz 4 eine Einstufung nicht, nicht richtig, nicht vollständig oder nicht unverzüglich mitteilt,</w:t>
      </w:r>
    </w:p>
    <w:p>
      <w:pPr>
        <w:ind w:left="420"/>
      </w:pPr>
      <w:r>
        <w:t xml:space="preserve">23. entgegen Artikel 40 Absatz 4, Artikel 41 Absatz 4, Artikel 46 Absatz 2, auch in Verbindung mit Artikel 50 Absatz 4, oder entgegen Artikel 50 Absatz 2 Satz 1 oder Absatz 3 Satz 2 eine dort genannte Information nicht, nicht richtig, nicht vollständig oder nicht rechtzeitig übermittelt oder eine dort genannte Mitteilung nicht, nicht richtig, nicht vollständig oder nicht rechtzeitig macht oder</w:t>
      </w:r>
    </w:p>
    <w:p>
      <w:pPr>
        <w:ind w:left="420"/>
      </w:pPr>
      <w:r>
        <w:t xml:space="preserve">24. entgegen Artikel 66 Absatz 1 eine Mitteilung nicht, nicht richtig, nicht vollständig oder nicht rechtzeitig macht.</w:t>
      </w:r>
    </w:p>
    <w:p>
      <w:r>
        <w:t xml:space="preserve">(6) Ordnungswidrig im Sinne des § 26 Absatz 2 Nummer 3 Buchstabe b des Chemikaliengesetzes handelt, wer vorsätzlich oder fahrlässig entgegen Artikel 7 Absatz 2 oder Artikel 37 Absatz 3 Unterabsatz 3 Satz 1 der Verordnung (EG) Nr. 1907/2006 eine Unterrichtung nicht, nicht richtig, nicht vollständig, nicht in der vorgeschriebenen Weise oder nicht rechtzeitig vornimmt.</w:t>
      </w:r>
    </w:p>
    <w:p>
      <w:r>
        <w:t xml:space="preserve">(7) Ordnungswidrig im Sinne des § 26 Absatz 2 Nummer 3 Buchstabe d des Chemikaliengesetzes handelt, wer gegen die Verordnung (EG) Nr. 1907/2006 verstößt, indem er vorsätzlich oder fahrlässig</w:t>
      </w:r>
    </w:p>
    <w:p>
      <w:pPr>
        <w:ind w:left="420"/>
      </w:pPr>
      <w:r>
        <w:t xml:space="preserve">1. einer vollziehbaren Auflage nach Artikel 9 Absatz 4 Unterabsatz 1 über die Sammlung einer verbleibenden Menge eines gefährlichen Stoffs oder eines gefährlichen Gemischs zuwiderhandelt oder</w:t>
      </w:r>
    </w:p>
    <w:p>
      <w:pPr>
        <w:ind w:left="420"/>
      </w:pPr>
      <w:r>
        <w:t xml:space="preserve">2. entgegen Artikel 60 Absatz 10 nicht sicherstellt, dass ein zugelassener Stoff bei der Exposition auf dem dort genannten Niveau gehalten wird.</w:t>
      </w:r>
    </w:p>
    <w:p>
      <w:r>
        <w:t xml:space="preserve">(8) Ordnungswidrig im Sinne des § 26 Absatz 2 Nummer 3 Buchstabe f des Chemikaliengesetzes handelt, wer vorsätzlich oder fahrlässig entgegen Artikel 14 Absatz 1 Unterabsatz 1 in Verbindung mit Absatz 3 oder Absatz 4, jeweils in Verbindung mit Artikel 37 Absatz 3 Unterabsatz 1 oder Unterabsatz 2, der Verordnung (EG) Nr. 1907/2006 eine Stoffsicherheitsbeurteilung nicht, nicht richtig, nicht vollständig oder nicht rechtzeitig durchführt.</w:t>
      </w:r>
    </w:p>
    <w:p>
      <w:r>
        <w:t xml:space="preserve">(9) Ordnungswidrig im Sinne des § 26 Absatz 2 Nummer 3 Buchstabe h des Chemikaliengesetzes handelt, wer gegen die Verordnung (EG) Nr. 1907/2006 verstößt, indem er vorsätzlich oder fahrlässig</w:t>
      </w:r>
    </w:p>
    <w:p>
      <w:pPr>
        <w:ind w:left="420"/>
      </w:pPr>
      <w:r>
        <w:t xml:space="preserve">1. entgegen Artikel 37 Absatz 3 Unterabsatz 3 Satz 1 einem nachgeschalteten Anwender einen Stoff liefert oder</w:t>
      </w:r>
    </w:p>
    <w:p>
      <w:pPr>
        <w:ind w:left="420"/>
      </w:pPr>
      <w:r>
        <w:t xml:space="preserve">2. entgegen Artikel 67 Absatz 1 Satz 1 in Verbindung mit Nummer 6 der Spalte 1 des Anhangs XVII in Verbindung mit Absatz 3 der zugehörigen Spalte 2 ein dort genanntes Erzeugnis ohne das dort genannte Etikett in Verkehr bringt.</w:t>
      </w:r>
    </w:p>
    <w:p>
      <w:r>
        <w:rPr>
          <w:color w:val="555555"/>
          <w:sz w:val="17"/>
        </w:rPr>
        <w:t xml:space="preserve">Zitiervorschlag: § 2 ChemSanktionsV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https://recht.nulegal.eu/gesetze/ChemSanktionsV/2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