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ChemSanktionsV — Ordnungswidrigkeiten nach der Verordnung (EU) Nr. 517/2014 und den auf ihrer Grundlage fortgeltenden Kommissionsverordnungen (EG) Nr. 1497/2007 und Nr. 1516/2007</w:t>
      </w:r>
    </w:p>
    <w:p>
      <w:r>
        <w:rPr>
          <w:color w:val="555555"/>
          <w:sz w:val="18"/>
        </w:rPr>
        <w:t xml:space="preserve">Chemikalien-Sanktionsverordnung</w:t>
      </w:r>
    </w:p>
    <w:p>
      <w:r>
        <w:rPr>
          <w:color w:val="555555"/>
          <w:sz w:val="18"/>
        </w:rPr>
        <w:t xml:space="preserve">Außer Kraft: § 18 ist seit 13.04.2025 nicht mehr im ChemSanktionsV enthalten. Angezeigt wird die letzte bekannte Fassung, Stand 10.06.2019.</w:t>
      </w:r>
    </w:p>
    <w:p>
      <w:r>
        <w:t xml:space="preserve">(1) Ordnungswidrig im Sinne des § 26 Absatz 1 Nummer 11 Satzteil vor Satz 2 des Chemikaliengesetzes handelt, wer gegen die Verordnung (EU) Nr. 517/2014 verstößt, indem er vorsätzlich oder fahrlässig</w:t>
      </w:r>
    </w:p>
    <w:p>
      <w:pPr>
        <w:ind w:left="420"/>
      </w:pPr>
      <w:r>
        <w:t xml:space="preserve">1. entgegen Artikel 3 Absatz 3 Unterabsatz 1 nicht sicherstellt, dass eine dort genannte Einrichtung repariert wird,</w:t>
      </w:r>
    </w:p>
    <w:p>
      <w:pPr>
        <w:ind w:left="420"/>
      </w:pPr>
      <w:r>
        <w:t xml:space="preserve">2. entgegen Artikel 3 Absatz 3 Unterabsatz 2 nicht gewährleistet, dass eine dort genannte Einrichtung von einer zertifizierten natürlichen Person geprüft wird,</w:t>
      </w:r>
    </w:p>
    <w:p>
      <w:pPr>
        <w:ind w:left="420"/>
      </w:pPr>
      <w:r>
        <w:t xml:space="preserve">3. entgegen Artikel 4 Absatz 1 Unterabsatz 1, jeweils in Verbindung mit Absatz 2 Unterabsatz 1 oder Absatz 3, nicht sicherstellt, dass eine dort genannte Einrichtung kontrolliert wird,</w:t>
      </w:r>
    </w:p>
    <w:p>
      <w:pPr>
        <w:ind w:left="420"/>
      </w:pPr>
      <w:r>
        <w:t xml:space="preserve">4. entgegen Artikel 5 Absatz 1 oder Absatz 2 nicht sicherstellt, dass eine dort genannte Einrichtung mit einem dort genannten Leckage-Erkennungssystem versehen ist,</w:t>
      </w:r>
    </w:p>
    <w:p>
      <w:pPr>
        <w:ind w:left="420"/>
      </w:pPr>
      <w:r>
        <w:t xml:space="preserve">5. entgegen Artikel 5 Absatz 3 oder Absatz 4 nicht sicherstellt, dass ein dort genanntes Leckage-Erkennungssystem kontrolliert wird,</w:t>
      </w:r>
    </w:p>
    <w:p>
      <w:pPr>
        <w:ind w:left="420"/>
      </w:pPr>
      <w:r>
        <w:t xml:space="preserve">6. entgegen Artikel 6 Absatz 1 oder Absatz 3 Unterabsatz 1 eine dort genannte Aufzeichnung nicht, nicht richtig oder nicht vollständig führt,</w:t>
      </w:r>
    </w:p>
    <w:p>
      <w:pPr>
        <w:ind w:left="420"/>
      </w:pPr>
      <w:r>
        <w:t xml:space="preserve">7. entgegen Artikel 6 Absatz 2 Unterabsatz 1 Buchstabe a oder Buchstabe b oder Absatz 3 Unterabsatz 2 eine dort genannte Aufzeichnung oder Kopie nicht oder nicht mindestens fünf Jahre ab dem Zeitpunkt der Erstellung der Aufzeichnung oder nach Erhalt der Kopie aufbewahrt,</w:t>
      </w:r>
    </w:p>
    <w:p>
      <w:pPr>
        <w:ind w:left="420"/>
      </w:pPr>
      <w:r>
        <w:t xml:space="preserve">8. entgegen Artikel 6 Absatz 2 Unterabsatz 2 Satz 1 oder Absatz 3 Unterabsatz 3 eine dort genannte Aufzeichnung nicht, nicht richtig, nicht vollständig oder nicht rechtzeitig zur Verfügung stellt,</w:t>
      </w:r>
    </w:p>
    <w:p>
      <w:pPr>
        <w:ind w:left="420"/>
      </w:pPr>
      <w:r>
        <w:t xml:space="preserve">9. entgegen Artikel 8 Absatz 1 die Rückgewinnung dort genannter Gase nicht sicherstellt,</w:t>
      </w:r>
    </w:p>
    <w:p>
      <w:pPr>
        <w:ind w:left="420"/>
      </w:pPr>
      <w:r>
        <w:t xml:space="preserve">10. entgegen Artikel 8 Absatz 2 für die Rückgewinnung dort genannter Gasreste nicht sorgt,</w:t>
      </w:r>
    </w:p>
    <w:p>
      <w:pPr>
        <w:ind w:left="420"/>
      </w:pPr>
      <w:r>
        <w:t xml:space="preserve">11. entgegen Artikel 12 Absatz 1, auch in Verbindung mit Absatz 2, 7, 8, 9, 10, 11 oder Absatz 12, jeweils in Verbindung mit Absatz 3, 4 oder Absatz 13, jeweils in Verbindung mit Artikel 2 der Durchführungsverordnung (EU) 2015/2068 der Kommission vom 17. November 2015 zur Festlegung – gemäß der Verordnung (EU) Nr. 517/2014 des Europäischen Parlaments und des Rates – der Form der Kennzeichnung von Erzeugnissen und Einrichtungen, die fluorierte Treibhausgase enthalten (ABl. L 301 vom 18.11.2015, S. 39), ein dort genanntes Erzeugnis oder eine dort genannte Einrichtung in Verkehr bringt,</w:t>
      </w:r>
    </w:p>
    <w:p>
      <w:pPr>
        <w:ind w:left="420"/>
      </w:pPr>
      <w:r>
        <w:t xml:space="preserve">12. entgegen Artikel 12 Absatz 5 Satz 1</w:t>
      </w:r>
    </w:p>
    <w:p>
      <w:pPr>
        <w:ind w:left="780"/>
      </w:pPr>
      <w:r>
        <w:t xml:space="preserve">a) in Verbindung mit Absatz 5 Satz 2 in Verbindung mit Absatz 4 Unterabsatz 1 Buchstabe b oder Unterabsatz 2 oder Absatz 13 oder</w:t>
      </w:r>
    </w:p>
    <w:p>
      <w:pPr>
        <w:ind w:left="780"/>
      </w:pPr>
      <w:r>
        <w:t xml:space="preserve">b) in Verbindung mit Absatz 5 Satz 3 in Verbindung mit Absatz 4 Unterabsatz 2 oder Absatz 13,</w:t>
      </w:r>
    </w:p>
    <w:p>
      <w:pPr>
        <w:ind w:left="420"/>
      </w:pPr>
      <w:r>
        <w:t xml:space="preserve">jeweils in Verbindung mit Artikel 2 Absatz 6 der Durchführungsverordnung (EU) 2015/2068, einen dort genannten Schaum, ein dort genanntes Polyol-Vorgemisch oder eine Schaumplatte in Verkehr bringt,</w:t>
      </w:r>
    </w:p>
    <w:p>
      <w:pPr>
        <w:ind w:left="420"/>
      </w:pPr>
      <w:r>
        <w:t xml:space="preserve">13. entgegen Artikel 14 Absatz 2 Unterabsatz 1 die dort genannte Dokumentation nicht gewährleistet oder die dort genannte Konformitätserklärung nicht oder nicht rechtzeitig ausstellt,</w:t>
      </w:r>
    </w:p>
    <w:p>
      <w:pPr>
        <w:ind w:left="420"/>
      </w:pPr>
      <w:r>
        <w:t xml:space="preserve">14. entgegen Artikel 14 Absatz 2 Unterabsatz 2 Satz 1 nicht sicherstellt, dass die Richtigkeit der dort genannten Dokumentation oder der dort genannten Konformitätserklärung bestätigt wird,</w:t>
      </w:r>
    </w:p>
    <w:p>
      <w:pPr>
        <w:ind w:left="420"/>
      </w:pPr>
      <w:r>
        <w:t xml:space="preserve">15. entgegen Artikel 14 Absatz 2 Unterabsatz 3 Satz 1 eine dort genannte Unterlage nicht oder nicht mindestens fünf Jahre aufbewahrt,</w:t>
      </w:r>
    </w:p>
    <w:p>
      <w:pPr>
        <w:ind w:left="420"/>
      </w:pPr>
      <w:r>
        <w:t xml:space="preserve">16. entgegen Artikel 14 Absatz 2 Unterabsatz 3 Satz 2 nicht sicherstellt, dass er erfasst wird,</w:t>
      </w:r>
    </w:p>
    <w:p>
      <w:pPr>
        <w:ind w:left="420"/>
      </w:pPr>
      <w:r>
        <w:t xml:space="preserve">17. entgegen Artikel 15 Absatz 1 Unterabsatz 2, auch in Verbindung mit Absatz 3, nicht gewährleistet, dass die dort genannte berechnete Menge an teilfluorierten Kohlenwasserstoffen die dort genannte zugewiesene oder übertragene Quote nicht überschreitet,</w:t>
      </w:r>
    </w:p>
    <w:p>
      <w:pPr>
        <w:ind w:left="420"/>
      </w:pPr>
      <w:r>
        <w:t xml:space="preserve">18. entgegen Artikel 17 Absatz 1 Unterabsatz 2 sich nicht oder nicht rechtzeitig registriert,</w:t>
      </w:r>
    </w:p>
    <w:p>
      <w:pPr>
        <w:ind w:left="420"/>
      </w:pPr>
      <w:r>
        <w:t xml:space="preserve">19. entgegen Artikel 18 Absatz 2 Unterabsatz 2, auch in Verbindung mit Artikel 15 Absatz 3, einem anderen Unternehmen erlaubt, die dort genannte Quote zu nutzen,</w:t>
      </w:r>
    </w:p>
    <w:p>
      <w:pPr>
        <w:ind w:left="420"/>
      </w:pPr>
      <w:r>
        <w:t xml:space="preserve">20. einer vollziehbaren Anordnung nach Artikel 18 Absatz 2 Unterabsatz 3 Satz 2, auch in Verbindung mit Artikel 15 Absatz 3, zuwiderhandelt,</w:t>
      </w:r>
    </w:p>
    <w:p>
      <w:pPr>
        <w:ind w:left="420"/>
      </w:pPr>
      <w:r>
        <w:t xml:space="preserve">21. entgegen Artikel 19 Absatz 1 Satz 1, auch in Verbindung mit Artikel 19 Absatz 1 Satz 2, jeweils auch in Verbindung mit Artikel 15 Absatz 3, eine dort genannte Angabe nicht, nicht richtig, nicht vollständig oder nicht rechtzeitig übermittelt,</w:t>
      </w:r>
    </w:p>
    <w:p>
      <w:pPr>
        <w:ind w:left="420"/>
      </w:pPr>
      <w:r>
        <w:t xml:space="preserve">22. entgegen Artikel 19 Absatz 2, 3 oder Absatz 4, jeweils auch in Verbindung mit Artikel 15 Absatz 3, eine dort genannte Angabe nicht, nicht richtig, nicht vollständig oder nicht rechtzeitig übermittelt,</w:t>
      </w:r>
    </w:p>
    <w:p>
      <w:pPr>
        <w:ind w:left="420"/>
      </w:pPr>
      <w:r>
        <w:t xml:space="preserve">23. entgegen Artikel 19 Absatz 5, auch in Verbindung mit Artikel 15 Absatz 3, das dort genannte Prüfdokument nicht, nicht richtig, nicht vollständig oder nicht rechtzeitig übermittelt,</w:t>
      </w:r>
    </w:p>
    <w:p>
      <w:pPr>
        <w:ind w:left="420"/>
      </w:pPr>
      <w:r>
        <w:t xml:space="preserve">24. entgegen Artikel 19 Absatz 6 Unterabsatz 1, auch in Verbindung mit Artikel 15 Absatz 3, nicht gewährleistet, dass die Richtigkeit der dort genannten Daten bestätigt wird,</w:t>
      </w:r>
    </w:p>
    <w:p>
      <w:pPr>
        <w:ind w:left="420"/>
      </w:pPr>
      <w:r>
        <w:t xml:space="preserve">25. entgegen Artikel 19 Absatz 6 Unterabsatz 2 Satz 1, auch in Verbindung mit Artikel 15 Absatz 3, den dort genannten Prüfbericht nicht oder nicht mindestens fünf Jahre nach dessen Eingang beim Unternehmen aufbewahrt oder</w:t>
      </w:r>
    </w:p>
    <w:p>
      <w:pPr>
        <w:ind w:left="420"/>
      </w:pPr>
      <w:r>
        <w:t xml:space="preserve">26. einer vollziehbaren Anordnung nach Artikel 19 Absatz 6 Unterabsatz 2 Satz 2, auch in Verbindung mit Artikel 15 Absatz 3, zuwiderhandelt.</w:t>
      </w:r>
    </w:p>
    <w:p>
      <w:r>
        <w:t xml:space="preserve">(2) Ordnungswidrig im Sinne des § 26 Absatz 1 Nummer 11 Satzteil vor Satz 2 des Chemikaliengesetzes handelt, wer vorsätzlich oder fahrlässig als Betreiber entgegen Artikel 7 der Verordnung (EG) Nr. 1497/2007 der Kommission vom 18. Dezember 2007 zur Festlegung der Standardanforderungen an die Kontrolle auf Dichtheit ortsfester Brandschutzsysteme, die bestimmte fluorierte Treibhausgase enthalten, gemäß der Verordnung (EG) Nr. 842/2006 des Europäischen Parlaments und des Rates (ABl. L 333 vom 19.12.2007, S. 4) ein neu installiertes System nicht oder nicht rechtzeitig auf Dichtheit kontrolliert.</w:t>
      </w:r>
    </w:p>
    <w:p>
      <w:r>
        <w:t xml:space="preserve">(3) Ordnungswidrig im Sinne des § 26 Absatz 1 Nummer 11 Satzteil vor Satz 2 des Chemikaliengesetzes handelt, wer vorsätzlich oder fahrlässig als Betreiber entgegen Artikel 10 der Verordnung (EG) Nr. 1516/2007 der Kommission vom 19. Dezember 2007 zur Festlegung der Standardanforderungen an die Kontrolle auf Dichtheit von ortsfesten Kälte- und Klimaanlagen sowie von Wärmepumpen, die bestimmte fluorierte Treibhausgase enthalten, gemäß der Verordnung (EG) Nr. 842/2006 des Europäischen Parlaments und des Rates (ABl. L 335 vom 20.12.2007, S. 10) ein neu installiertes System nicht oder nicht rechtzeitig auf Dichtheit kontrolliert.</w:t>
      </w:r>
    </w:p>
    <w:p>
      <w:r>
        <w:rPr>
          <w:color w:val="555555"/>
          <w:sz w:val="17"/>
        </w:rPr>
        <w:t xml:space="preserve">Zitiervorschlag: § 18 ChemSanktionsV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https://recht.nulegal.eu/gesetze/ChemSanktionsV/18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