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ChemSanktionsV — Ordnungswidrigkeiten nach der Verordnung (EU) Nr. 649/2012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Außer Kraft: § 16 ist seit 13.04.2025 nicht mehr im ChemSanktionsV enthalten. Angezeigt wird die letzte bekannte Fassung, Stand 10.06.2019.</w:t>
      </w:r>
    </w:p>
    <w:p>
      <w:r>
        <w:t xml:space="preserve">Ordnungswidrig im Sinne des § 26 Absatz 1 Nummer 11 Satzteil vor Satz 2 des Chemikaliengesetzes handelt, wer gegen die Verordnung (EU) Nr. 649/2012 verstößt, indem er vorsätzlich oder fahrlässig</w:t>
      </w:r>
    </w:p>
    <w:p>
      <w:pPr>
        <w:ind w:left="420"/>
      </w:pPr>
      <w:r>
        <w:t xml:space="preserve">1. entgegen Artikel 8 Absatz 2 Unterabsatz 1 Satz 1 oder Satz 2, jeweils in Verbindung mit Satz 3, jeweils auch in Verbindung mit Artikel 8 Absatz 4 oder Artikel 15 Absatz 1, die bezeichnete nationale Behörde über die Ausfuhr einer Chemikalie oder eines Artikels nicht, nicht richtig, nicht vollständig oder nicht rechtzeitig unterrichtet,</w:t>
      </w:r>
    </w:p>
    <w:p>
      <w:pPr>
        <w:ind w:left="420"/>
      </w:pPr>
      <w:r>
        <w:t xml:space="preserve">2. entgegen Artikel 10 Absatz 1 Satz 1 in Verbindung mit Satz 2 oder Satz 3, jeweils auch in Verbindung mit Satz 4, eine dort genannte Information nicht, nicht richtig, nicht vollständig oder nicht rechtzeitig gibt,</w:t>
      </w:r>
    </w:p>
    <w:p>
      <w:pPr>
        <w:ind w:left="420"/>
      </w:pPr>
      <w:r>
        <w:t xml:space="preserve">3. entgegen Artikel 10 Absatz 2 oder Artikel 11 Absatz 4 Unterabsatz 2 eine dort genannte Information nicht, nicht richtig, nicht vollständig oder nicht rechtzeitig zur Verfügung stellt,</w:t>
      </w:r>
    </w:p>
    <w:p>
      <w:pPr>
        <w:ind w:left="420"/>
      </w:pPr>
      <w:r>
        <w:t xml:space="preserve">4. entgegen Artikel 14 Absatz 4 einer dort genannten Entscheidung nicht, nicht richtig, nicht vollständig oder nicht rechtzeitig nachkommt,</w:t>
      </w:r>
    </w:p>
    <w:p>
      <w:pPr>
        <w:ind w:left="420"/>
      </w:pPr>
      <w:r>
        <w:t xml:space="preserve">5. entgegen Artikel 14 Absatz 10 Satz 1 eine Chemikalie später als sechs Monate vor dem Verfallsdatum ausführt,</w:t>
      </w:r>
    </w:p>
    <w:p>
      <w:pPr>
        <w:ind w:left="420"/>
      </w:pPr>
      <w:r>
        <w:t xml:space="preserve">6. entgegen Artikel 14 Absatz 11 Satz 1 bei der Ausfuhr von Pestiziden nicht sicherstellt, dass das Etikett die dort genannten Informationen enthält,</w:t>
      </w:r>
    </w:p>
    <w:p>
      <w:pPr>
        <w:ind w:left="420"/>
      </w:pPr>
      <w:r>
        <w:t xml:space="preserve">7. entgegen Artikel 16 Absatz 2 eine dort genannte Information nicht, nicht richtig, nicht vollständig oder nicht rechtzeitig übermittelt,</w:t>
      </w:r>
    </w:p>
    <w:p>
      <w:pPr>
        <w:ind w:left="420"/>
      </w:pPr>
      <w:r>
        <w:t xml:space="preserve">8. entgegen Artikel 17 Absatz 3 in Verbindung mit Artikel 31 Absatz 1 der Verordnung (EG) Nr. 1907/2006 ein Sicherheitsdatenblatt nicht, nicht richtig, nicht vollständig oder nicht rechtzeitig beifügt oder nicht, nicht richtig, nicht vollständig oder nicht rechtzeitig übermittelt,</w:t>
      </w:r>
    </w:p>
    <w:p>
      <w:pPr>
        <w:ind w:left="420"/>
      </w:pPr>
      <w:r>
        <w:t xml:space="preserve">9. entgegen Artikel 19 Absatz 1 oder Absatz 2 eine Kennnummer nicht, nicht richtig, nicht vollständig oder nicht rechtzeitig angibt oder</w:t>
      </w:r>
    </w:p>
    <w:p>
      <w:pPr>
        <w:ind w:left="420"/>
      </w:pPr>
      <w:r>
        <w:t xml:space="preserve">10. einer vollziehbaren Anordnung nach Artikel 19 Absatz 3 zuwiderhandelt.</w:t>
      </w:r>
    </w:p>
    <w:p>
      <w:r>
        <w:rPr>
          <w:color w:val="555555"/>
          <w:sz w:val="17"/>
        </w:rPr>
        <w:t xml:space="preserve">Zitiervorschlag: § 16 ChemSanktionsV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