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ChemSanktionsV — Ordnungswidrigkeiten nach der Verordnung (EU) 2019/1021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Ordnungswidrig im Sinne des § 26 Absatz 2 Nummer 2 Buchstabe c des Chemikaliengesetzes handelt, wer vorsätzlich oder fahrlässig entgegen Artikel 7 Absatz 2 Unterabsatz 1 der Verordnung (EU) 2019/1021 dort genannte Abfälle nicht, nicht richtig, nicht vollständig oder nicht rechtzeitig beseitigt und nicht, nicht richtig, nicht vollständig oder nicht rechtzeitig verwertet.</w:t>
      </w:r>
    </w:p>
    <w:p>
      <w:r>
        <w:t xml:space="preserve">(2) Ordnungswidrig im Sinne des § 26 Absatz 2 Nummer 3 Buchstabe b des Chemikaliengesetzes handelt, wer vorsätzlich oder fahrlässig entgegen Artikel 5 Absatz 2 Unterabsatz 1 der Verordnung (EU) 2019/1021 eine Unterrichtung nicht, nicht richtig, nicht vollständig oder nicht rechtzeitig vornimmt.</w:t>
      </w:r>
    </w:p>
    <w:p>
      <w:r>
        <w:rPr>
          <w:color w:val="555555"/>
          <w:sz w:val="17"/>
        </w:rPr>
        <w:t xml:space="preserve">Zitiervorschlag: § 11 ChemSanktionsV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