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ChemSanktionsV — Straftaten nach der Verordnung (EU) 2019/1021</w:t>
      </w:r>
    </w:p>
    <w:p>
      <w:r>
        <w:rPr>
          <w:color w:val="555555"/>
          <w:sz w:val="18"/>
        </w:rPr>
        <w:t xml:space="preserve">Chemikalien-Sanktionsverordnung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Nach § 27 Absatz 1 Nummer 3 Satzteil vor Satz 2, Absatz 1a bis 4 des Chemikaliengesetzes wird bestraft, wer vorsätzlich oder fahrlässig entgegen Artikel 3 Absatz 1 der Verordnung (EU) 2019/1021 des Europäischen Parlaments und des Rates vom 20. Juni 2019 über persistente organische Schadstoffe (ABl. L 169 vom 25.6.2019, S. 45; L 179I vom 9.6.2020, S. 4), die zuletzt durch die Delegierte Verordnung (EU) 2024/2570 (ABl. L, 2024/2570, 27.9.2024) geändert worden ist, einen dort genannten Stoff als solchen, in einem Gemisch oder in einem Erzeugnis herstellt, in Verkehr bringt oder verwendet.</w:t>
      </w:r>
    </w:p>
    <w:p>
      <w:r>
        <w:rPr>
          <w:color w:val="555555"/>
          <w:sz w:val="17"/>
        </w:rPr>
        <w:t xml:space="preserve">Zitiervorschlag: § 10 ChemSanktionsV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https://recht.nulegal.eu/gesetze/ChemSanktionsV/10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