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ChemKostV 1994 — Gebührenermäßigung</w:t>
      </w:r>
    </w:p>
    <w:p>
      <w:r>
        <w:rPr>
          <w:color w:val="555555"/>
          <w:sz w:val="18"/>
        </w:rPr>
        <w:t xml:space="preserve">Chemikalien-Kostenverordnung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Antrag des Gebührenschuldners kann eine Gebührenermäßigung oder eine Gebührenbefreiung gewährt werden, wenn an dem Inverkehrbringen des Stoffes oder des Biozid-Produkts ein besonderes öffentliches Interesse besteht und der Antragsteller einen den Gebühren und dem Entwicklungsaufwand angemessenen wirtschaftlichen Nutzen nicht erwarten kann.</w:t>
      </w:r>
    </w:p>
    <w:p>
      <w:r>
        <w:rPr>
          <w:color w:val="555555"/>
          <w:sz w:val="17"/>
        </w:rPr>
        <w:t xml:space="preserve">Zitiervorschlag: § 3 ChemKostV 1994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https://recht.nulegal.eu/gesetze/ChemKostV%201994/3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ChemKostV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