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ChemIndMeistPrV 2004</w:t>
      </w:r>
    </w:p>
    <w:p>
      <w:r>
        <w:rPr>
          <w:color w:val="555555"/>
          <w:sz w:val="18"/>
        </w:rPr>
        <w:t xml:space="preserve">Verordnung über die Prüfung zum anerkannten Abschluss Geprüfter Industriemeister/Geprüfte Industriemeisterin - Fachrichtung Chemie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46 Abs. 2 des Berufsbildungsgesetzes vom 14. August 1969 (BGBl. I S. 1112), der zuletzt durch Artikel 184 Nr. 1 der Verordnung vom 25. November 2003 (BGBl. I S. 2304) geändert worden ist, verordnet das Bundesministerium für Bildung und Forschung nach Anhören des Ständigen Ausschusses des Bundesinstituts für Berufsbildung im Einvernehmen mit dem Bundesministerium für Wirtschaft und Arbeit:</w:t>
      </w:r>
    </w:p>
    <w:p>
      <w:r>
        <w:rPr>
          <w:color w:val="555555"/>
          <w:sz w:val="17"/>
        </w:rPr>
        <w:t xml:space="preserve">Zitiervorschlag: Eingangsformel ChemIndMeistPrV 2004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https://recht.nulegal.eu/gesetze/ChemIndMeistPrV%202004/eingangsformel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