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ChemIndMeistPrV 2004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Chemie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7 und 8 außer Betracht. Für diese Prüfungsbestandteile erhöhen sich die Anteile nach § 7 Absatz 2 Satz 2, Absatz 3 Satz 3, Absatz 5 Satz 2 oder § 8 Absatz 4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6 ChemIndMeistPrV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https://recht.nulegal.eu/gesetze/ChemIndMeistPrV%202004/6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ChemIndMeistPrV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