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ChemGiftInfoV — Vertraulichkeit</w:t>
      </w:r>
    </w:p>
    <w:p>
      <w:r>
        <w:rPr>
          <w:color w:val="555555"/>
          <w:sz w:val="18"/>
        </w:rPr>
        <w:t xml:space="preserve">Giftinformationsverordnung</w:t>
      </w:r>
    </w:p>
    <w:p>
      <w:r>
        <w:rPr>
          <w:color w:val="555555"/>
          <w:sz w:val="18"/>
        </w:rPr>
        <w:t xml:space="preserve">Stand: 10.06.2019 (konsolidierte Textfassung, kein amtliches Inkrafttretensdatum)</w:t>
      </w:r>
    </w:p>
    <w:p>
      <w:r>
        <w:t xml:space="preserve">Alle nach § 2 und auf dem Formblatt nach der Anlage übermittelten Daten, einschließlich der freiwilligen Angaben, sind vertraulich zu behandeln. Die Angaben im Formblatt nach der Anlage dürfen nicht zur Herstellung eines Personenbezuges zum Patienten verarbeitet oder genutzt werden.</w:t>
      </w:r>
    </w:p>
    <w:p>
      <w:r>
        <w:rPr>
          <w:color w:val="555555"/>
          <w:sz w:val="17"/>
        </w:rPr>
        <w:t xml:space="preserve">Zitiervorschlag: § 4 ChemGiftInfoV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https://recht.nulegal.eu/gesetze/ChemGiftInfoV/4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