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ChemGiftInfoV — Ärztliche Mitteilungspflicht bei Vergiftungen (§ 16e Abs. 2 des Chemikaliengesetzes)</w:t>
      </w:r>
    </w:p>
    <w:p>
      <w:r>
        <w:rPr>
          <w:color w:val="555555"/>
          <w:sz w:val="18"/>
        </w:rPr>
        <w:t xml:space="preserve">Giftinformationsverordnung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Mitteilung nach § 16e Abs. 2 des Chemikaliengesetzes hat unter Verwendung des Formblattes nach der Anlage zu erfolgen und muß zumindest die Angaben zu den Nummern 1 bis 4 des Formblattes umfassen. Sie hat</w:t>
      </w:r>
    </w:p>
    <w:p>
      <w:pPr>
        <w:ind w:left="420"/>
      </w:pPr>
      <w:r>
        <w:t xml:space="preserve">1. bei akuten Erkrankungen nach Abschluß der Behandlung,</w:t>
      </w:r>
    </w:p>
    <w:p>
      <w:pPr>
        <w:ind w:left="420"/>
      </w:pPr>
      <w:r>
        <w:t xml:space="preserve">2. bei chronischen Erkrankungen nach Stellung der Diagnose,</w:t>
      </w:r>
    </w:p>
    <w:p>
      <w:pPr>
        <w:ind w:left="420"/>
      </w:pPr>
      <w:r>
        <w:t xml:space="preserve">3. bei einer Beratung im Zusammenhang mit einer Erkrankung nach Abschluß der Beratung,</w:t>
      </w:r>
    </w:p>
    <w:p>
      <w:pPr>
        <w:ind w:left="420"/>
      </w:pPr>
      <w:r>
        <w:t xml:space="preserve">4. sofern im Falle einer Erkrankung mit Todesfolge eine Obduktion durchgeführt wird, nach deren Abschluß</w:t>
      </w:r>
    </w:p>
    <w:p>
      <w:r>
        <w:t xml:space="preserve">unverzüglich zu erfolgen. Wenn zur Beratung ein Informations- und Behandlungszentrum für Vergiftungen hinzugezogen wird, ist eine Mitteilung nur von dem behandelnden Arzt vorzunehmen.</w:t>
      </w:r>
    </w:p>
    <w:p>
      <w:r>
        <w:t xml:space="preserve">(2) Das Bundesinstitut für Risikobewertung kann die Übermittlung der Angaben nach Absatz 1 auch auf andere geeignete Weise zulassen.</w:t>
      </w:r>
    </w:p>
    <w:p>
      <w:r>
        <w:rPr>
          <w:color w:val="555555"/>
          <w:sz w:val="17"/>
        </w:rPr>
        <w:t xml:space="preserve">Zitiervorschlag: § 3 ChemGiftInfoV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https://recht.nulegal.eu/gesetze/ChemGiftInfoV/3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