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ChemGiftInfoV — Mitteilungspflicht beim Inverkehrbringen von Gemischen und Biozid-Produkten</w:t>
      </w:r>
    </w:p>
    <w:p>
      <w:r>
        <w:rPr>
          <w:color w:val="555555"/>
          <w:sz w:val="18"/>
        </w:rPr>
        <w:t xml:space="preserve">Giftinformationsverordnung</w:t>
      </w:r>
    </w:p>
    <w:p>
      <w:r>
        <w:rPr>
          <w:color w:val="555555"/>
          <w:sz w:val="18"/>
        </w:rPr>
        <w:t xml:space="preserve">Stand: 10.06.2019 (konsolidierte Textfassung, kein amtliches Inkrafttretensdatum)</w:t>
      </w:r>
    </w:p>
    <w:p>
      <w:r>
        <w:t xml:space="preserve">(1) Die Mitteilung nach § 16e Absatz 1 des Chemikaliengesetzes hat bei erstmaliger Mitteilung vor dem Inverkehrbringen und bei einer Änderungsmitteilung unverzüglich nach den Vorgaben des Anhangs VIII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L 16 vom 20.1.2011, S. 1; L 94 vom 10.4.2015, S. 9), in der jeweils geltenden Fassung, unter Verwendung des in Anhang VIII Teil C der genannten Verordnung festgelegten Formats, zu erfolgen. Das Bundesinstitut für Risikobewertung bestätigt dem Mitteilenden den Eingang der Mitteilung.</w:t>
      </w:r>
    </w:p>
    <w:p>
      <w:r>
        <w:t xml:space="preserve">(2) Bis zu drei Monate nachdem die Europäische Chemikalienagentur das in Absatz 1 genannte Format zur Verfügung gestellt hat, kann die Mitteilung abweichend von Absatz 1 unter Verwendung eines vom Bundesinstitut für Risikobewertung auf seiner Internetseite zur Verfügung zu stellenden Formats erfolgen, das inhaltlich den Vorgaben der bis zum 28. Juli 2017 geltenden Fassung dieser Verordnung entspricht. Das Bundesinstitut für Risikobewertung gibt den Zeitpunkt, zu dem die Europäische Chemikalienagentur das Format zur Verfügung gestellt hat, unverzüglich im elektronischen Bundesanzeiger bekannt.</w:t>
      </w:r>
    </w:p>
    <w:p>
      <w:r>
        <w:rPr>
          <w:color w:val="555555"/>
          <w:sz w:val="17"/>
        </w:rPr>
        <w:t xml:space="preserve">Zitiervorschlag: § 2 ChemGiftInfoV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https://recht.nulegal.eu/gesetze/ChemGiftInfoV/2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