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ChemGiftInfoV — Anwendungsbereich</w:t>
      </w:r>
    </w:p>
    <w:p>
      <w:r>
        <w:rPr>
          <w:color w:val="555555"/>
          <w:sz w:val="18"/>
        </w:rPr>
        <w:t xml:space="preserve">Giftinformationsverordnung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trifft nähere Bestimmungen über Art, Umfang, Inhalt und Form von Mitteilungen an das Bundesinstitut für Risikobewertung,</w:t>
      </w:r>
    </w:p>
    <w:p>
      <w:pPr>
        <w:ind w:left="420"/>
      </w:pPr>
      <w:r>
        <w:t xml:space="preserve">1. die derjenige, der bestimmte Gemische oder ein Biozid-Produkt in den Verkehr bringt, nach § 16e Abs. 1 des Chemikaliengesetzes abzugeben hat,</w:t>
      </w:r>
    </w:p>
    <w:p>
      <w:pPr>
        <w:ind w:left="420"/>
      </w:pPr>
      <w:r>
        <w:t xml:space="preserve">2. die ein Arzt nach § 16e Abs. 2 des Chemikaliengesetzes bei Vergiftungsfällen abzugeben hat.</w:t>
      </w:r>
    </w:p>
    <w:p>
      <w:r>
        <w:rPr>
          <w:color w:val="555555"/>
          <w:sz w:val="17"/>
        </w:rPr>
        <w:t xml:space="preserve">Zitiervorschlag: § 1 ChemGiftInfoV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https://recht.nulegal.eu/gesetze/ChemGiftInfoV/1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