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ChemG — Informationsaustausch zwischen Bundes- und Landesbehörden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Bundesstelle für Chemikalien informiert die zuständigen Landesbehörden insbesondere über Mitteilungen der Europäischen Chemikalienagentur über</w:t>
      </w:r>
    </w:p>
    <w:p>
      <w:pPr>
        <w:ind w:left="420"/>
      </w:pPr>
      <w:r>
        <w:t xml:space="preserve">1. verfahrensorientierte Forschung und Entwicklung nach Artikel 9 Absatz 3 Satz 3 sowie Entscheidungsentwürfe nach Artikel 9 Absatz 8 Satz 1 der Verordnung (EG) Nr. 1907/2006,</w:t>
      </w:r>
    </w:p>
    <w:p>
      <w:pPr>
        <w:ind w:left="420"/>
      </w:pPr>
      <w:r>
        <w:t xml:space="preserve">2. als registriert geltende Stoffe nach Artikel 16 Absatz 1 Satz 2 der Verordnung (EG) Nr. 1907/2006,</w:t>
      </w:r>
    </w:p>
    <w:p>
      <w:pPr>
        <w:ind w:left="420"/>
      </w:pPr>
      <w:r>
        <w:t xml:space="preserve">3. Registrierungsdossiers nach Artikel 20 Absatz 4 Satz 1, 4 und 5 sowie nach Artikel 22 Absatz 1 Satz 2 und Absatz 2 Satz 2 der Verordnung (EG) Nr. 1907/2006,</w:t>
      </w:r>
    </w:p>
    <w:p>
      <w:pPr>
        <w:ind w:left="420"/>
      </w:pPr>
      <w:r>
        <w:t xml:space="preserve">4. die Dossierbewertung nach Artikel 41 Absatz 2, Artikel 42 Absatz 2 Satz 1 und Artikel 43 Absatz 3 und über Folgemaßnahmen der Stoffbewertung nach Artikel 48 Satz 3 der Verordnung (EG) Nr. 1907/2006,</w:t>
      </w:r>
    </w:p>
    <w:p>
      <w:pPr>
        <w:ind w:left="420"/>
      </w:pPr>
      <w:r>
        <w:t xml:space="preserve">5. die Prüfung von Zwischenprodukten in anderen Mitgliedstaaten nach Artikel 49 Satz 4 der Verordnung (EG) Nr. 1907/2006,</w:t>
      </w:r>
    </w:p>
    <w:p>
      <w:pPr>
        <w:ind w:left="420"/>
      </w:pPr>
      <w:r>
        <w:t xml:space="preserve">6. die Einstellung der Herstellung, Einfuhr oder Produktion nach Artikel 50 Absatz 2 Satz 2 und Absatz 3 Satz 3 der Verordnung (EG) Nr. 1907/2006,</w:t>
      </w:r>
    </w:p>
    <w:p>
      <w:pPr>
        <w:ind w:left="420"/>
      </w:pPr>
      <w:r>
        <w:t xml:space="preserve">7. die Ermittlung von in Artikel 57 genannten Stoffen nach Artikel 59 Absatz 2 Satz 3 und Artikel 59 Absatz 3 Satz 1 und 3 und das Zulassungsverfahren nach Artikel 64 Absatz 5 Satz 4 und 7 der Verordnung (EG) Nr. 1907/2006,</w:t>
      </w:r>
    </w:p>
    <w:p>
      <w:pPr>
        <w:ind w:left="420"/>
      </w:pPr>
      <w:r>
        <w:t xml:space="preserve">8. das Ergebnis von Anträgen auf Verwendung einer alternativen chemischen Bezeichnung nach Artikel 24 Absatz 5 der Verordnung (EG) Nr. 1272/2008.</w:t>
      </w:r>
    </w:p>
    <w:p>
      <w:r>
        <w:t xml:space="preserve">(2) Die zuständigen Landesbehörden informieren die Bundesstelle für Chemikalien insbesondere über</w:t>
      </w:r>
    </w:p>
    <w:p>
      <w:pPr>
        <w:ind w:left="420"/>
      </w:pPr>
      <w:r>
        <w:t xml:space="preserve">1. Erkenntnisse über die Verwendung von standortinternen isolierten Zwischenprodukten, aus denen sich ein Risiko für die menschliche Gesundheit oder die Umwelt nach Artikel 49 der Verordnung (EG) Nr. 1907/2006 ergeben kann,</w:t>
      </w:r>
    </w:p>
    <w:p>
      <w:pPr>
        <w:ind w:left="420"/>
      </w:pPr>
      <w:r>
        <w:t xml:space="preserve">2. im Rahmen von Durchsetzungs- und Überwachungstätigkeiten gewonnene Erkenntnisse im Sinne von Artikel 124 Absatz 1 Satz 1 der Verordnung (EG) Nr. 1907/2006, aus denen sich ein Risikoverdacht ergibt,</w:t>
      </w:r>
    </w:p>
    <w:p>
      <w:pPr>
        <w:ind w:left="420"/>
      </w:pPr>
      <w:r>
        <w:t xml:space="preserve">3. die Anordnung vorläufiger Maßnahmen nach § 23 Absatz 2 unter Vorlage der nach Artikel 129 Absatz 1 der Verordnung (EG) Nr. 1907/2006 oder nach Artikel 52 Absatz 1 der Verordnung (EG) Nr. 1272/2008 erforderlichen Unterlagen.</w:t>
      </w:r>
    </w:p>
    <w:p>
      <w:r>
        <w:t xml:space="preserve">(3) § 22 bleibt unberührt.</w:t>
      </w:r>
    </w:p>
    <w:p>
      <w:r>
        <w:rPr>
          <w:color w:val="555555"/>
          <w:sz w:val="17"/>
        </w:rPr>
        <w:t xml:space="preserve">Zitiervorschlag: § 9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