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ChemG — Zusammenarbeit der Bundesstelle für Chemikalien und der anderen beteiligten Bundesoberbehörden</w:t>
      </w:r>
    </w:p>
    <w:p>
      <w:r>
        <w:rPr>
          <w:color w:val="555555"/>
          <w:sz w:val="18"/>
        </w:rPr>
        <w:t xml:space="preserve">Chemikaliengesetz</w:t>
      </w:r>
    </w:p>
    <w:p>
      <w:r>
        <w:rPr>
          <w:color w:val="555555"/>
          <w:sz w:val="18"/>
        </w:rPr>
        <w:t xml:space="preserve">Stand: 10.06.2019 (konsolidierte Textfassung, kein amtliches Inkrafttretensdatum)</w:t>
      </w:r>
    </w:p>
    <w:p>
      <w:r>
        <w:t xml:space="preserve">(1) Die Bundesstelle für Chemikalien koordiniert das Zusammenwirken der in § 4 genannten Bundesoberbehörden und wirkt auf die Schlüssigkeit und Widerspruchsfreiheit der Gesamtposition hin. Sie entscheidet über die Gesamtposition, sofern im Einzelfall deren Schlüssigkeit und Widerspruchsfreiheit anders nicht erreicht werden kann und die Abgabe einer Stellungnahme keinen Aufschub duldet. Entscheidungen nach Satz 2, in denen die Bundesstelle für Chemikalien von der Bewertung einer Bewertungsstelle nach § 6 Absatz 1 Satz 1 abweicht, bedürfen einer eingehenden Begründung, die aktenkundig zu machen und den Bewertungsstellen zuzuleiten ist.</w:t>
      </w:r>
    </w:p>
    <w:p>
      <w:r>
        <w:t xml:space="preserve">(2) Die Bundesstelle für Chemikalien vertritt die Gesamtposition nach außen. Sie zieht dabei Vertreter der anderen beteiligten Bundesoberbehörden zur Unterstützung hinzu, sofern sie es für erforderlich hält oder diese es verlangen.</w:t>
      </w:r>
    </w:p>
    <w:p>
      <w:r>
        <w:rPr>
          <w:color w:val="555555"/>
          <w:sz w:val="17"/>
        </w:rPr>
        <w:t xml:space="preserve">Zitiervorschlag: § 7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