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27d ChemG — Einziehung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24.11.2023 (konsolidierte Textfassung, kein amtliches Inkrafttretensdatum)</w:t>
      </w:r>
    </w:p>
    <w:p>
      <w:r>
        <w:t xml:space="preserve">Gegenstände, auf die sich eine Straftat nach den §§ 27, 27b Absatz 1 bis 4 oder § 27c oder eine Ordnungswidrigkeit nach § 26 Absatz 1 Nummer 4, 5, 7 Buchstabe a oder b oder Nummer 10 oder Absatz 2 Nummer 1 Buchstabe a oder Nummer 2 Buchstabe a, c oder d oder § 27b Absatz 5 Satz 1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27d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