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27c ChemG — Zuwiderhandlungen gegen Abgabevorschriften</w:t>
      </w:r>
    </w:p>
    <w:p>
      <w:r>
        <w:rPr>
          <w:color w:val="555555"/>
          <w:sz w:val="18"/>
        </w:rPr>
        <w:t xml:space="preserve">Chemikaliengesetz</w:t>
      </w:r>
    </w:p>
    <w:p>
      <w:r>
        <w:rPr>
          <w:color w:val="555555"/>
          <w:sz w:val="18"/>
        </w:rPr>
        <w:t xml:space="preserve">Stand: 24.11.2023 (konsolidierte Textfassung, kein amtliches Inkrafttretensdatum)</w:t>
      </w:r>
    </w:p>
    <w:p>
      <w:r>
        <w:t xml:space="preserve">(1) Mit Freiheitsstrafe bis zu zwei Jahren oder mit Geldstrafe wird bestraft, wer eine in § 26 Absatz 1 Nummer 7 Buchstabe b oder Absatz 2 Nummer 2 Buchstabe d bezeichnete vorsätzliche Handlung begeht, obwohl er weiß, dass der gefährliche Stoff, das gefährliche Gemisch oder das Erzeugnis für eine rechtswidrige Tat, die den Tatbestand eines Strafgesetzes verwirklicht, verwendet werden soll.</w:t>
      </w:r>
    </w:p>
    <w:p>
      <w:r>
        <w:t xml:space="preserve">(2) Erkennt der Täter in den Fällen des Absatzes 1 leichtfertig nicht, dass der gefährliche Stoff, das gefährliche Gemisch oder das Erzeugnis für eine rechtswidrige Tat, die den Tatbestand eines Strafgesetzes verwirklicht, verwendet werden soll, so ist die Strafe Freiheitsstrafe bis zu einem Jahr oder Geldstrafe.</w:t>
      </w:r>
    </w:p>
    <w:p>
      <w:r>
        <w:rPr>
          <w:color w:val="555555"/>
          <w:sz w:val="17"/>
        </w:rPr>
        <w:t xml:space="preserve">Zitiervorschlag: § 27c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https://recht.nulegal.eu/gesetze/ChemG/27c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