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ChemG — Vollzug im Bereich der Landesverteidigung</w:t>
      </w:r>
    </w:p>
    <w:p>
      <w:r>
        <w:rPr>
          <w:color w:val="555555"/>
          <w:sz w:val="18"/>
        </w:rPr>
        <w:t xml:space="preserve">Chemikaliengesetz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Im Geschäftsbereich des Bundesministeriums der Verteidigung obliegt der Vollzug des Gesetzes, der auf dieses Gesetz gestützten Rechtsverordnungen und der in § 21 Absatz 2 Satz 1 genannten EG- oder EU-Verordnungen dem Bundesministerium der Verteidigung und den von ihm bestimmten Stellen.</w:t>
      </w:r>
    </w:p>
    <w:p>
      <w:r>
        <w:t xml:space="preserve">(2) Das Bundesministerium der Verteidigung und das Bundesministerium des Innern können für ihren Geschäftsbereich für bestimmte Stoffe, Gemische, Erzeugnisse und Einrichtungen Ausnahmen von den in Absatz 1 genannten Rechtsvorschriften zulassen, wenn dies im Interesse der Landesverteidigung erforderlich und unionsrechtlich zulässig ist.</w:t>
      </w:r>
    </w:p>
    <w:p>
      <w:r>
        <w:rPr>
          <w:color w:val="555555"/>
          <w:sz w:val="17"/>
        </w:rPr>
        <w:t xml:space="preserve">Zitiervorschlag: § 24 ChemG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