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20b ChemG — Ausschüsse</w:t>
      </w:r>
    </w:p>
    <w:p>
      <w:r>
        <w:rPr>
          <w:color w:val="555555"/>
          <w:sz w:val="18"/>
        </w:rPr>
        <w:t xml:space="preserve">Chemikaliengesetz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Bundesregierung wird ermächtigt, durch Rechtsverordnung mit Zustimmung des Bundesrates Ausschüsse zu bilden, denen die Aufgabe übertragen werden kann,</w:t>
      </w:r>
    </w:p>
    <w:p>
      <w:pPr>
        <w:ind w:left="420"/>
      </w:pPr>
      <w:r>
        <w:t xml:space="preserve">1. die Bundesregierung oder die zuständigen Bundesministerien zu beraten, insbesondere</w:t>
      </w:r>
    </w:p>
    <w:p>
      <w:pPr>
        <w:ind w:left="780"/>
      </w:pPr>
      <w:r>
        <w:t xml:space="preserve">a) bei der Entwicklung von Methoden für Prüfnachweise nach diesem Gesetz,</w:t>
      </w:r>
    </w:p>
    <w:p>
      <w:pPr>
        <w:ind w:left="780"/>
      </w:pPr>
      <w:r>
        <w:t xml:space="preserve">b) bei der Erarbeitung von Vorschriften für die Einstufung, Kennzeichnung und Verpackung nach den §§ 14 und 19,</w:t>
      </w:r>
    </w:p>
    <w:p>
      <w:pPr>
        <w:ind w:left="780"/>
      </w:pPr>
      <w:r>
        <w:t xml:space="preserve">c) bei der Benennung von Stoffen und Gemischen, für die eine Mitteilungspflicht nach § 16d begründet werden sollte,</w:t>
      </w:r>
    </w:p>
    <w:p>
      <w:pPr>
        <w:ind w:left="780"/>
      </w:pPr>
      <w:r>
        <w:t xml:space="preserve">d) beim Erlass von Verbots-, Beschränkungs- oder Schutzvorschriften nach § 17, § 18 oder § 19 und</w:t>
      </w:r>
    </w:p>
    <w:p>
      <w:pPr>
        <w:ind w:left="780"/>
      </w:pPr>
      <w:r>
        <w:t xml:space="preserve">e) bei der Weiterentwicklung der Guten Laborpraxis sowie</w:t>
      </w:r>
    </w:p>
    <w:p>
      <w:pPr>
        <w:ind w:left="780"/>
      </w:pPr>
      <w:r>
        <w:t xml:space="preserve">a) sicherheitstechnische, arbeitsmedizinische und hygienische Regeln sowie sonstige arbeitswissenschaftliche Erkenntnisse zu ermitteln,</w:t>
      </w:r>
    </w:p>
    <w:p>
      <w:pPr>
        <w:ind w:left="780"/>
      </w:pPr>
      <w:r>
        <w:t xml:space="preserve">b) zum Schutz von Mensch und Umwelt Empfehlungen zu erarbeiten sowie</w:t>
      </w:r>
    </w:p>
    <w:p>
      <w:pPr>
        <w:ind w:left="780"/>
      </w:pPr>
      <w:r>
        <w:t xml:space="preserve">c) für Mensch und Umwelt nicht oder weniger gefährliche Stoffe, Gemische, Erzeugnisse und Verfahren vorzuschlagen,</w:t>
      </w:r>
    </w:p>
    <w:p>
      <w:r>
        <w:t xml:space="preserve">die das zuständige Bundesministerium amtlich bekannt machen kann.</w:t>
      </w:r>
    </w:p>
    <w:p>
      <w:r>
        <w:rPr>
          <w:color w:val="555555"/>
          <w:sz w:val="17"/>
        </w:rPr>
        <w:t xml:space="preserve">Zitiervorschlag: § 20b ChemG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https://recht.nulegal.eu/gesetze/ChemG/20b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