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ChemG — Antrags- und Mitteilungsunterlagen, Verordnungsermächtigungen</w:t>
      </w:r>
    </w:p>
    <w:p>
      <w:r>
        <w:rPr>
          <w:color w:val="555555"/>
          <w:sz w:val="18"/>
        </w:rPr>
        <w:t xml:space="preserve">Chemikaliengesetz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Bundesregierung wird ermächtigt, durch Rechtsverordnung mit Zustimmung des Bundesrates</w:t>
      </w:r>
    </w:p>
    <w:p>
      <w:pPr>
        <w:ind w:left="420"/>
      </w:pPr>
      <w:r>
        <w:t xml:space="preserve">1. Inhalt und Form von Antrags- oder Mitteilungsunterlagen, die bei der Bundesstelle für Chemikalien oder einer anderen Bundesbehörde nach diesem Gesetz, einer auf dieses Gesetz gestützten Rechtsverordnung oder einer der in § 21 Absatz 2 Satz 1 genannten EG- oder EU-Verordnung einzureichen sind, näher zu bestimmen,</w:t>
      </w:r>
    </w:p>
    <w:p>
      <w:pPr>
        <w:ind w:left="420"/>
      </w:pPr>
      <w:r>
        <w:t xml:space="preserve">2. zu regeln, dass und für welchen Zeitraum derjenige, der derartige Antrags- oder Mitteilungsunterlagen bei der Bundesstelle für Chemikalien oder einer anderen Bundesbehörde einreicht, ein Doppel dieser Unterlagen zur Einsichtnahme aufzubewahren hat.</w:t>
      </w:r>
    </w:p>
    <w:p>
      <w:r>
        <w:t xml:space="preserve">(2) Die Bundesstelle für Chemikalien kann für Anträge oder Unterlagen, die bei ihr eingereicht werden,</w:t>
      </w:r>
    </w:p>
    <w:p>
      <w:pPr>
        <w:ind w:left="420"/>
      </w:pPr>
      <w:r>
        <w:t xml:space="preserve">1. die Verwendung von ihr bestimmter Vordrucke oder Formate sonstiger Datenträger verlangen,</w:t>
      </w:r>
    </w:p>
    <w:p>
      <w:pPr>
        <w:ind w:left="420"/>
      </w:pPr>
      <w:r>
        <w:t xml:space="preserve">2. die Übermittlung der Angaben auf einem anderen Datenträger zulassen,</w:t>
      </w:r>
    </w:p>
    <w:p>
      <w:pPr>
        <w:ind w:left="420"/>
      </w:pPr>
      <w:r>
        <w:t xml:space="preserve">3. die Übermittlung weiterer Kopien vorgelegter Unterlagen verlangen, soweit dies im Hinblick auf die Beteiligung der in den §§ 4 und 12a genannten weiteren Bundesbehörden erforderlich ist.</w:t>
      </w:r>
    </w:p>
    <w:p>
      <w:r>
        <w:rPr>
          <w:color w:val="555555"/>
          <w:sz w:val="17"/>
        </w:rPr>
        <w:t xml:space="preserve">Zitiervorschlag: § 20 ChemG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