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19d ChemG — Ergänzende Vorschriften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24.11.2023 (konsolidierte Textfassung, kein amtliches Inkrafttretensdatum)</w:t>
      </w:r>
    </w:p>
    <w:p>
      <w:r>
        <w:t xml:space="preserve">(1) Die GLP-Bundesstelle im Bundesinstitut für Risikobewertung hat zusätzlich folgende Aufgaben:</w:t>
      </w:r>
    </w:p>
    <w:p>
      <w:pPr>
        <w:ind w:left="420"/>
      </w:pPr>
      <w:r>
        <w:t xml:space="preserve">1. Entgegennahme und Weiterleitung von Informationen oder sonstige Mitwirkungsakte der Mitgliedstaaten, sofern für die Durchführung der Richtlinie 2004/9/EG oder sonstiger Vorschriften des Unionsrechts über die Gute Laborpraxis oder im Hinblick auf Verpflichtungen aus internationalen Vereinbarungen über die Gute Laborpraxis erforderlich,</w:t>
      </w:r>
    </w:p>
    <w:p>
      <w:pPr>
        <w:ind w:left="420"/>
      </w:pPr>
      <w:r>
        <w:t xml:space="preserve">2. Erstellung, Führung und Fortschreibung des Verzeichnisses nach § 19c Absatz 2,</w:t>
      </w:r>
    </w:p>
    <w:p>
      <w:pPr>
        <w:ind w:left="420"/>
      </w:pPr>
      <w:r>
        <w:t xml:space="preserve">3. fachliche Beratung der Bundesregierung und der Länder, insbesondere bei der Konkretisierung der Anforderungen an</w:t>
      </w:r>
    </w:p>
    <w:p>
      <w:pPr>
        <w:ind w:left="780"/>
      </w:pPr>
      <w:r>
        <w:t xml:space="preserve">a) die Sachkunde und die Zuverlässigkeit der mit der Durchführung der Prüfungen betrauten Personen,</w:t>
      </w:r>
    </w:p>
    <w:p>
      <w:pPr>
        <w:ind w:left="780"/>
      </w:pPr>
      <w:r>
        <w:t xml:space="preserve">b) die Beschaffenheit und die Ausstattung der Prüfeinrichtungen und Prüfstandorte,</w:t>
      </w:r>
    </w:p>
    <w:p>
      <w:pPr>
        <w:ind w:left="780"/>
      </w:pPr>
      <w:r>
        <w:t xml:space="preserve">c) die Laborpraxis, z. B. die Beschaffenheit der Prüfproben, die Durchführung und Qualitätskontrolle der Prüfungen und Phasen von Prüfungen,</w:t>
      </w:r>
    </w:p>
    <w:p>
      <w:pPr>
        <w:ind w:left="780"/>
      </w:pPr>
      <w:r>
        <w:t xml:space="preserve">d) die Gewinnung und Dokumentation von Daten,</w:t>
      </w:r>
    </w:p>
    <w:p>
      <w:pPr>
        <w:ind w:left="780"/>
      </w:pPr>
      <w:r>
        <w:t xml:space="preserve">e) die Überwachung der Einhaltung der Grundsätze der Guten Laborpraxis,</w:t>
      </w:r>
    </w:p>
    <w:p>
      <w:pPr>
        <w:ind w:left="420"/>
      </w:pPr>
      <w:r>
        <w:t xml:space="preserve">4. fachliche Beratung der Bundesregierung im Rahmen von Konsultationsverfahren mit der Europäischen Kommission und anderer Mitgliedstaaten der Europäischen Union,</w:t>
      </w:r>
    </w:p>
    <w:p>
      <w:pPr>
        <w:ind w:left="420"/>
      </w:pPr>
      <w:r>
        <w:t xml:space="preserve">5. Mitwirkung bei dem Vollzug von Vereinbarungen über die Gute Laborpraxis mit Staaten, die nicht Mitglied der Europäischen Union sind, einschließlich</w:t>
      </w:r>
    </w:p>
    <w:p>
      <w:pPr>
        <w:ind w:left="780"/>
      </w:pPr>
      <w:r>
        <w:t xml:space="preserve">a) der Mitarbeit in Gremien zu diesen Vereinbarungen,</w:t>
      </w:r>
    </w:p>
    <w:p>
      <w:pPr>
        <w:ind w:left="780"/>
      </w:pPr>
      <w:r>
        <w:t xml:space="preserve">b) der Durchführung von Inspektionen, der Teilnahme und Mitarbeit bei solchen Inspektionen im Geltungsbereich dieses Gesetzes und in anderen Staaten,</w:t>
      </w:r>
    </w:p>
    <w:p>
      <w:pPr>
        <w:ind w:left="420"/>
      </w:pPr>
      <w:r>
        <w:t xml:space="preserve">6. die Weiterleitung von Informationen nach § 19b Absatz 3</w:t>
      </w:r>
    </w:p>
    <w:p>
      <w:pPr>
        <w:ind w:left="780"/>
      </w:pPr>
      <w:r>
        <w:t xml:space="preserve">a) an die Europäische Kommission gemäß Artikel 5 Absatz 2 der Richtlinie 2004/9/EG,</w:t>
      </w:r>
    </w:p>
    <w:p>
      <w:pPr>
        <w:ind w:left="780"/>
      </w:pPr>
      <w:r>
        <w:t xml:space="preserve">b) zur Durchführung internationaler Vereinbarungen über die Gute Laborpraxis an die OECD und an Staaten, die nicht Mitglied der Europäischen Union sind.</w:t>
      </w:r>
    </w:p>
    <w:p>
      <w:r>
        <w:t xml:space="preserve">(2) Vorbehaltlich des § 19c Absatz 1 gilt für den Austausch von Informationen zwischen der GLP-Bundesstelle im Bundesinstitut für Risikobewertung und den zuständigen Behörden der Länder § 22 Satz 1 und 2 entsprechend. Die GLP-Bundesstelle im Bundesinstitut für Risikobewertung leitet die Informationen über die Nichteinhaltung der GLP-Grundsätze, die sie von ausländischen Staaten in den nach § 19b Absatz 2 einer GLP-Bescheinigung gleichgestellten Fällen erhält, unverzüglich an die zuständigen Bewertungsbehörden weiter.</w:t>
      </w:r>
    </w:p>
    <w:p>
      <w:r>
        <w:t xml:space="preserve">(3) Die Bundesregierung wird ermächtigt, durch Rechtsverordnung mit Zustimmung des Bundesrates zur Weiterentwicklung der Guten Laborpraxis die Anhänge 1 und 2 zu ändern.</w:t>
      </w:r>
    </w:p>
    <w:p>
      <w:r>
        <w:t xml:space="preserve">(4) Die Bundesregierung erlässt mit Zustimmung des Bundesrates allgemeine Verwaltungsvorschriften über das Verfahren der behördlichen Überwachung.</w:t>
      </w:r>
    </w:p>
    <w:p>
      <w:r>
        <w:rPr>
          <w:color w:val="555555"/>
          <w:sz w:val="17"/>
        </w:rPr>
        <w:t xml:space="preserve">Zitiervorschlag: § 19d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https://recht.nulegal.eu/gesetze/ChemG/19d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