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19c ChemG — Berichterstattung</w:t>
      </w:r>
    </w:p>
    <w:p>
      <w:r>
        <w:rPr>
          <w:color w:val="555555"/>
          <w:sz w:val="18"/>
        </w:rPr>
        <w:t xml:space="preserve">Chemikaliengesetz</w:t>
      </w:r>
    </w:p>
    <w:p>
      <w:r>
        <w:rPr>
          <w:color w:val="555555"/>
          <w:sz w:val="18"/>
        </w:rPr>
        <w:t xml:space="preserve">Stand: 24.11.2023 (konsolidierte Textfassung, kein amtliches Inkrafttretensdatum)</w:t>
      </w:r>
    </w:p>
    <w:p>
      <w:r>
        <w:t xml:space="preserve">(1) Die GLP-Bundesstelle im Bundesinstitut für Risikobewertung erstattet jährlich bis zum 31. März für das vergangene Kalenderjahr der Europäischen Kommission Bericht über die Anwendung der Grundsätze der Guten Laborpraxis im Geltungsbereich dieses Gesetzes. Sie ist darüber hinaus für die Berichterstattung über die Gute Laborpraxis im Rahmen der Organisation für wirtschaftliche Zusammenarbeit und Entwicklung (OECD) zuständig. Die Berichte nach den Sätzen 1 und 2 enthalten ein Verzeichnis der inspizierten Prüfeinrichtungen und Prüfstandorte, eine Angabe der Zeitpunkte, zu denen Inspektionen durchgeführt wurden und eine Zusammenfassung der Ergebnisse der Inspektionen. Die obersten Landesbehörden wirken bei der Erstellung der Berichte mit und übersenden ihre Beiträge bis zum 15. Februar für das vergangene Kalenderjahr der GLP-Bundesstelle im Bundesinstitut für Risikobewertung.</w:t>
      </w:r>
    </w:p>
    <w:p>
      <w:r>
        <w:t xml:space="preserve">(2) Die GLP-Bundesstelle im Bundesinstitut für Risikobewertung kann ein Verzeichnis der Prüfeinrichtungen und Prüfstandorte, die Prüfungen oder Phasen von Prüfungen unter Einhaltung der Grundsätze der Guten Laborpraxis durchführen, im Bundesanzeiger, im elektronischen Bundesanzeiger oder auf ihrer Internetseite veröffentlichen.</w:t>
      </w:r>
    </w:p>
    <w:p>
      <w:r>
        <w:rPr>
          <w:color w:val="555555"/>
          <w:sz w:val="17"/>
        </w:rPr>
        <w:t xml:space="preserve">Zitiervorschlag: § 19c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