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ChemG — Gute Laborpraxis (GLP)</w:t>
      </w:r>
    </w:p>
    <w:p>
      <w:r>
        <w:rPr>
          <w:color w:val="555555"/>
          <w:sz w:val="18"/>
        </w:rPr>
        <w:t xml:space="preserve">Chemikaliengesetz</w:t>
      </w:r>
    </w:p>
    <w:p>
      <w:r>
        <w:rPr>
          <w:color w:val="555555"/>
          <w:sz w:val="18"/>
        </w:rPr>
        <w:t xml:space="preserve">Stand: 24.11.2023 (konsolidierte Textfassung, kein amtliches Inkrafttretensdatum)</w:t>
      </w:r>
    </w:p>
    <w:p>
      <w:r>
        <w:t xml:space="preserve">(1) Nicht-klinische gesundheits- und umweltrelevante Sicherheitsprüfungen von Stoffen oder Gemischen, deren Ergebnisse eine Bewertung ihrer möglichen Gefahren für Mensch und Umwelt in einem Zulassungs-, Erlaubnis-, Registrierungs-, Anmelde- oder Mitteilungsverfahren ermöglichen sollen, sind unter Einhaltung der Grundsätze der Guten Laborpraxis nach dem Anhang 1 zu diesem Gesetz durchzuführen, soweit gemeinschaftsrechtlich oder unionsrechtlich nichts anderes bestimmt ist.</w:t>
      </w:r>
    </w:p>
    <w:p>
      <w:r>
        <w:t xml:space="preserve">(2) Der Antragsteller oder der Anmelde- oder Mitteilungspflichtige, der in einem Verfahren nach Absatz 1 Prüfergebnisse vorlegt, hat nachzuweisen, dass die den Prüfergebnissen zugrunde liegenden Prüfungen den Anforderungen nach Anhang 1 entsprechen. Der Nachweis ist zu erbringen durch</w:t>
      </w:r>
    </w:p>
    <w:p>
      <w:pPr>
        <w:ind w:left="420"/>
      </w:pPr>
      <w:r>
        <w:t xml:space="preserve">1. die Bescheinigung nach § 19b und</w:t>
      </w:r>
    </w:p>
    <w:p>
      <w:pPr>
        <w:ind w:left="420"/>
      </w:pPr>
      <w:r>
        <w:t xml:space="preserve">2. die schriftliche Erklärung des Prüfleiters, inwieweit die Prüfung nach den Grundsätzen der Guten Laborpraxis durchgeführt worden ist.</w:t>
      </w:r>
    </w:p>
    <w:p>
      <w:r>
        <w:t xml:space="preserve">Wird der Nachweis nicht erbracht, gelten die Prüfergebnisse als nicht vorgelegt. Der Nachweis gilt als nicht erbracht, wenn eine zuständige Landesbehörde nach § 19b Absatz 3 Satz 2 für die Prüfung festgestellt hat, dass diese nicht den Grundsätzen der Guten Laborpraxis entsprechend durchgeführt wurde.</w:t>
      </w:r>
    </w:p>
    <w:p>
      <w:r>
        <w:t xml:space="preserve">(3) Bundesbehörden, die Prüfungen nach Absatz 1 durchführen, sind dafür verantwortlich, dass in ihrem Aufgabenbereich die Grundsätze der Guten Laborpraxis eingehalten werden. Für die Überwachung der Einhaltung der Grundsätze der Guten Laborpraxis ist im Falle des Satzes 1 die GLP-Bundesstelle im Bundesinstitut für Risikobewertung zuständig. Erlangt sie davon Kenntnis, dass eine Bundesbehörde bei Prüfungen nach Absatz 1 die Grundsätze der Guten Laborpraxis nicht einhält, so informiert sie deren vorgesetzte Behörde.</w:t>
      </w:r>
    </w:p>
    <w:p>
      <w:r>
        <w:t xml:space="preserve">(4) Die Aufbewahrungspflicht nach Nummer 10.2 des Anhangs 1 kann durch Übergabe der Unterlagen und schriftliche Vereinbarung mit dem Auftraggeber oder einem Dritten, die der zuständigen Behörde mitzuteilen sind, übertragen werden. Der Inhaber der GLP-Bescheinigung hat sicherzustellen, dass die Anforderungen nach Nummer 10 des Anhangs 1 eingehalten werden.</w:t>
      </w:r>
    </w:p>
    <w:p>
      <w:r>
        <w:t xml:space="preserve">(5) Die Absätze 1 und 2 sind nicht anzuwenden auf vor dem 1. August 1990 begonnene und bis zum 1. Januar 1995 abgeschlossene Prüfungen, wenn die zuständige Behörde im Einzelfall festgestellt hat, dass die Prüfung auch unter Berücksichtigung der Grundsätze der Guten Laborpraxis noch verwertbar ist.</w:t>
      </w:r>
    </w:p>
    <w:p>
      <w:r>
        <w:rPr>
          <w:color w:val="555555"/>
          <w:sz w:val="17"/>
        </w:rPr>
        <w:t xml:space="preserve">Zitiervorschlag: § 19a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