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ChemG — Giftige Tiere und Pflanzen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soweit es zum Schutz von Leben oder Gesundheit des Menschen unter Berücksichtigung der Belange des Natur- und Tierschutzes erforderlich ist, durch Rechtsverordnung mit Zustimmung des Bundesrates vorzuschreiben, dass Exemplare</w:t>
      </w:r>
    </w:p>
    <w:p>
      <w:pPr>
        <w:ind w:left="420"/>
      </w:pPr>
      <w:r>
        <w:t xml:space="preserve">1. bestimmter giftiger Tierarten</w:t>
      </w:r>
    </w:p>
    <w:p>
      <w:pPr>
        <w:ind w:left="780"/>
      </w:pPr>
      <w:r>
        <w:t xml:space="preserve">a) nicht eingeführt oder nicht gehalten werden dürfen,</w:t>
      </w:r>
    </w:p>
    <w:p>
      <w:pPr>
        <w:ind w:left="780"/>
      </w:pPr>
      <w:r>
        <w:t xml:space="preserve">b) nur eingeführt oder gehalten werden dürfen, wenn geeignete Gegenmittel und Behandlungsempfehlungen vom Einführer oder Tierhalter bereitgehalten werden, oder</w:t>
      </w:r>
    </w:p>
    <w:p>
      <w:pPr>
        <w:ind w:left="780"/>
      </w:pPr>
      <w:r>
        <w:t xml:space="preserve">c) nur eingeführt oder gehalten werden dürfen, wenn dies der zuständigen Behörde zuvor angezeigt wird,</w:t>
      </w:r>
    </w:p>
    <w:p>
      <w:pPr>
        <w:ind w:left="420"/>
      </w:pPr>
      <w:r>
        <w:t xml:space="preserve">2. bestimmter giftiger Pflanzenarten</w:t>
      </w:r>
    </w:p>
    <w:p>
      <w:pPr>
        <w:ind w:left="780"/>
      </w:pPr>
      <w:r>
        <w:t xml:space="preserve">a) auf bestimmten Flächen nicht angepflanzt oder</w:t>
      </w:r>
    </w:p>
    <w:p>
      <w:pPr>
        <w:ind w:left="780"/>
      </w:pPr>
      <w:r>
        <w:t xml:space="preserve">b) in Katalogen und Warenlisten nur mit einem Hinweis auf ihre Giftigkeit angeboten werden dürfen.</w:t>
      </w:r>
    </w:p>
    <w:p>
      <w:r>
        <w:t xml:space="preserve">Die Erlaubnis zur Haltung nach Satz 1 Nummer 1 Buchstabe b und c kann mit Auflagen verbunden werden.</w:t>
      </w:r>
    </w:p>
    <w:p>
      <w:r>
        <w:t xml:space="preserve">(2) Absatz 1 Nummer 1 gilt entsprechend für tote Exemplare giftiger Tierarten oder für Teile von diesen. Absatz 1 Nummer 2 Buchstabe b gilt entsprechend für giftige Samen, giftiges Pflanz- und Vermehrungsgut sowie abgestorbene Exemplare oder Teile giftiger Pflanzenarten.</w:t>
      </w:r>
    </w:p>
    <w:p>
      <w:r>
        <w:t xml:space="preserve">(3) § 17 Absatz 1 Nummer 1 und 2 Buchstabe c und d gilt entsprechend für die in Absatz 2 Satz 1 genannten Tierkörper oder deren Teile sowie für bestimmte Arten giftiger Samen und abgestorbener Exemplare oder Teile giftiger Pflanzenarten.</w:t>
      </w:r>
    </w:p>
    <w:p>
      <w:r>
        <w:rPr>
          <w:color w:val="555555"/>
          <w:sz w:val="17"/>
        </w:rPr>
        <w:t xml:space="preserve">Zitiervorschlag: § 18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