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ChemG — Verbote und Beschränkungen; Verordnungsermächtigung</w:t>
      </w:r>
    </w:p>
    <w:p>
      <w:r>
        <w:rPr>
          <w:color w:val="555555"/>
          <w:sz w:val="18"/>
        </w:rPr>
        <w:t xml:space="preserve">Chemikaliengesetz</w:t>
      </w:r>
    </w:p>
    <w:p>
      <w:r>
        <w:rPr>
          <w:color w:val="555555"/>
          <w:sz w:val="18"/>
        </w:rPr>
        <w:t xml:space="preserve">Stand: 02.04.2026 (konsolidierte Textfassung, kein amtliches Inkrafttretensdatum)</w:t>
      </w:r>
    </w:p>
    <w:p>
      <w:r>
        <w:t xml:space="preserve">(1) Die Bundesregierung wird ermächtigt, nach Anhörung der beteiligten Kreise durch Rechtsverordnung mit Zustimmung des Bundesrates, soweit es zu dem in § 1 genannten Zweck erforderlich und unionsrechtlich zulässig ist,</w:t>
      </w:r>
    </w:p>
    <w:p>
      <w:pPr>
        <w:ind w:left="420"/>
      </w:pPr>
      <w:r>
        <w:t xml:space="preserve">1. vorzuschreiben, dass bestimmte gefährliche Stoffe, bestimmte gefährliche Gemische oder Erzeugnisse, die einen solchen Stoff oder ein solches Gemisch freisetzen können, enthalten oder zu ihrem Funktionieren benötigen, oder Einrichtungen</w:t>
      </w:r>
    </w:p>
    <w:p>
      <w:pPr>
        <w:ind w:left="780"/>
      </w:pPr>
      <w:r>
        <w:t xml:space="preserve">a) nicht, nur in bestimmter Beschaffenheit oder nur für bestimmte Zwecke hergestellt, in den Verkehr gebracht oder verwendet werden dürfen,</w:t>
      </w:r>
    </w:p>
    <w:p>
      <w:pPr>
        <w:ind w:left="780"/>
      </w:pPr>
      <w:r>
        <w:t xml:space="preserve">b) nur auf bestimmte Art und Weise verwendet werden dürfen oder</w:t>
      </w:r>
    </w:p>
    <w:p>
      <w:pPr>
        <w:ind w:left="780"/>
      </w:pPr>
      <w:r>
        <w:t xml:space="preserve">c) nur unter bestimmten Voraussetzungen angeboten, verkauft, abgegeben oder erworben werden dürfen oder nur bestimmten Personen angeboten, nur an bestimmte Personen verkauft oder abgegeben oder nur von bestimmten Personen erworben werden dürfen,</w:t>
      </w:r>
    </w:p>
    <w:p>
      <w:pPr>
        <w:ind w:left="420"/>
      </w:pPr>
      <w:r>
        <w:t xml:space="preserve">2. vorzuschreiben, dass derjenige, der bestimmte gefährliche Stoffe, bestimmte gefährliche Gemische oder Erzeugnisse, die einen solchen Stoff oder ein solches Gemisch freisetzen können, enthalten oder zu ihrem Funktionieren benötigen, oder Einrichtungen herstellt, in den Verkehr bringt oder verwendet,</w:t>
      </w:r>
    </w:p>
    <w:p>
      <w:pPr>
        <w:ind w:left="780"/>
      </w:pPr>
      <w:r>
        <w:t xml:space="preserve">a) dies anzuzeigen hat,</w:t>
      </w:r>
    </w:p>
    <w:p>
      <w:pPr>
        <w:ind w:left="780"/>
      </w:pPr>
      <w:r>
        <w:t xml:space="preserve">b) dazu einer Erlaubnis bedarf,</w:t>
      </w:r>
    </w:p>
    <w:p>
      <w:pPr>
        <w:ind w:left="780"/>
      </w:pPr>
      <w:r>
        <w:t xml:space="preserve">c) bestimmten Anforderungen an seine Zuverlässigkeit und Gesundheit genügen muss oder</w:t>
      </w:r>
    </w:p>
    <w:p>
      <w:pPr>
        <w:ind w:left="780"/>
      </w:pPr>
      <w:r>
        <w:t xml:space="preserve">d) die erforderlichen Fähigkeiten und Kenntnisse nachzuweisen und an Auffrischungskursen teilzunehmen hat, einschließlich insbesondere Regelungen zu treffen über</w:t>
      </w:r>
    </w:p>
    <w:p>
      <w:pPr>
        <w:ind w:left="1140"/>
      </w:pPr>
      <w:r>
        <w:t xml:space="preserve">aa) das Verfahren,</w:t>
      </w:r>
    </w:p>
    <w:p>
      <w:pPr>
        <w:ind w:left="1140"/>
      </w:pPr>
      <w:r>
        <w:t xml:space="preserve">bb) die Voraussetzungen für die Erteilung von Bescheinigungen,</w:t>
      </w:r>
    </w:p>
    <w:p>
      <w:pPr>
        <w:ind w:left="1140"/>
      </w:pPr>
      <w:r>
        <w:t xml:space="preserve">cc) die Zuständigkeit,</w:t>
      </w:r>
    </w:p>
    <w:p>
      <w:pPr>
        <w:ind w:left="1140"/>
      </w:pPr>
      <w:r>
        <w:t xml:space="preserve">dd) die Möglichkeit einer Übertragung von Zuständigkeiten und Aufgaben auf andere Körperschaften des öffentlichen Rechts und juristische Personen des Bürgerlichen Rechts oder Personenvereinigungen sowie</w:t>
      </w:r>
    </w:p>
    <w:p>
      <w:pPr>
        <w:ind w:left="1140"/>
      </w:pPr>
      <w:r>
        <w:t xml:space="preserve">ee) die Geltungsdauer von Nachweisen,</w:t>
      </w:r>
    </w:p>
    <w:p>
      <w:pPr>
        <w:ind w:left="420"/>
      </w:pPr>
      <w:r>
        <w:t xml:space="preserve">3. Herstellungs- oder Verwendungsverfahren zu verbieten, bei denen bestimmte gefährliche Stoffe anfallen.</w:t>
      </w:r>
    </w:p>
    <w:p>
      <w:r>
        <w:t xml:space="preserve">(2) Durch Verordnung nach Absatz 1 können auch Verbote und Beschränkungen unter Berücksichtigung der Entwicklung von Stoffen, Gemischen, Erzeugnissen, Einrichtungen oder Verfahren, deren Herstellung, Verwendung, Entsorgung oder Anwendung mit einem geringeren Risiko für Mensch oder Umwelt verbunden ist, festgesetzt werden.</w:t>
      </w:r>
    </w:p>
    <w:p>
      <w:r>
        <w:t xml:space="preserve">(3) Absatz 1 gilt auch für Biozid-Wirkstoffe und Biozid-Produkte, die nicht gefährliche Stoffe oder Gemische im Sinne des § 3a sind, für Stoffe, Gemische und Erzeugnisse nach § 19 Absatz 2 sowie für Stoffe, Gemische oder Erzeugnisse, deren Umwandlungsprodukte gefährlich im Sinne des Anhangs I Teil 2 bis 5 der Verordnung (EG) Nr. 1272/2008 sind. Durch Verordnung nach Absatz 1 in Verbindung mit Satz 1 können auch Vorschriften zur guten fachlichen Praxis bei der Verwendung von Biozid-Produkten erlassen werden.</w:t>
      </w:r>
    </w:p>
    <w:p>
      <w:r>
        <w:t xml:space="preserve">(4) Absatz 1 Nummer 1 und 2 gilt auch für solche Stoffe, Gemische, Erzeugnisse oder Einrichtungen, bei denen Anhaltspunkte, insbesondere ein nach dem Stand der wissenschaftlichen Erkenntnisse begründeter Verdacht, dafür bestehen, dass der Stoff, das Gemisch, das Erzeugnis oder die Einrichtung gefährlich ist.</w:t>
      </w:r>
    </w:p>
    <w:p>
      <w:r>
        <w:t xml:space="preserve">(5) Die Bundesregierung kann in den Rechtsverordnungen nach Absatz 1 auch Regelungen zum Verfahren sowie Methoden zur Überprüfung ihrer Einhaltung festlegen. Dabei können insbesondere auch die Entnahme von Proben und die hierfür anzuwendenden Verfahren und die zur Bestimmung von einzelnen Stoffen oder Stoffgruppen erforderlichen Analyseverfahren geregelt werden.</w:t>
      </w:r>
    </w:p>
    <w:p>
      <w:r>
        <w:t xml:space="preserve">(6) Bei Gefahr im Verzuge kann die Bundesregierung eine Rechtsverordnung nach Absatz 1 Nummer 1 und 3 ohne Zustimmung des Bundesrates und ohne Anhörung der beteiligten Kreise erlassen. Sie tritt spätestens zwölf Monate nach ihrem Inkrafttreten außer Kraft. Ihre Geltungsdauer kann nur mit Zustimmung des Bundesrates verlängert werden.</w:t>
      </w:r>
    </w:p>
    <w:p>
      <w:r>
        <w:t xml:space="preserve">(7) Die beteiligten Kreise bestehen aus jeweils auszuwählenden Vertretern der Wissenschaft, der Verbraucherschutzverbände, der Gewerkschaften und Berufsgenossenschaften, der beteiligten Wirtschaft, des Gesundheitswesens sowie der Umwelt-, Tierschutz- und Naturschutzverbände.</w:t>
      </w:r>
    </w:p>
    <w:p>
      <w:r>
        <w:rPr>
          <w:color w:val="555555"/>
          <w:sz w:val="17"/>
        </w:rPr>
        <w:t xml:space="preserve">Zitiervorschlag: § 17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